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eastAsiaTheme="minorEastAsia"/>
          <w:b/>
          <w:sz w:val="44"/>
          <w:szCs w:val="44"/>
          <w:lang w:val="en-US" w:eastAsia="zh-CN"/>
        </w:rPr>
      </w:pPr>
      <w:r>
        <w:rPr>
          <w:rFonts w:hint="eastAsia"/>
          <w:b/>
          <w:sz w:val="44"/>
          <w:szCs w:val="44"/>
        </w:rPr>
        <w:t>永清县行政审批局</w:t>
      </w:r>
      <w:r>
        <w:rPr>
          <w:rFonts w:hint="eastAsia"/>
          <w:b/>
          <w:sz w:val="44"/>
          <w:szCs w:val="44"/>
          <w:lang w:val="en-US" w:eastAsia="zh-CN"/>
        </w:rPr>
        <w:t>新增办理业务</w:t>
      </w:r>
    </w:p>
    <w:p>
      <w:pPr>
        <w:keepNext w:val="0"/>
        <w:keepLines w:val="0"/>
        <w:pageBreakBefore w:val="0"/>
        <w:kinsoku/>
        <w:wordWrap/>
        <w:overflowPunct/>
        <w:topLinePunct w:val="0"/>
        <w:autoSpaceDE/>
        <w:autoSpaceDN/>
        <w:bidi w:val="0"/>
        <w:adjustRightInd/>
        <w:snapToGrid/>
        <w:spacing w:line="580" w:lineRule="exact"/>
        <w:jc w:val="center"/>
        <w:textAlignment w:val="auto"/>
        <w:rPr>
          <w:b/>
          <w:sz w:val="44"/>
          <w:szCs w:val="44"/>
        </w:rPr>
      </w:pPr>
      <w:r>
        <w:rPr>
          <w:rFonts w:hint="eastAsia"/>
          <w:b/>
          <w:sz w:val="44"/>
          <w:szCs w:val="44"/>
        </w:rPr>
        <w:t>公   告</w:t>
      </w:r>
    </w:p>
    <w:p>
      <w:pPr>
        <w:keepNext w:val="0"/>
        <w:keepLines w:val="0"/>
        <w:pageBreakBefore w:val="0"/>
        <w:kinsoku/>
        <w:wordWrap/>
        <w:overflowPunct/>
        <w:topLinePunct w:val="0"/>
        <w:autoSpaceDE/>
        <w:autoSpaceDN/>
        <w:bidi w:val="0"/>
        <w:adjustRightInd/>
        <w:snapToGrid/>
        <w:spacing w:line="580" w:lineRule="exact"/>
        <w:textAlignment w:val="auto"/>
        <w:rPr>
          <w:rFonts w:ascii="仿宋" w:hAnsi="仿宋" w:eastAsia="仿宋"/>
          <w:b/>
          <w:sz w:val="32"/>
          <w:szCs w:val="32"/>
        </w:rPr>
      </w:pPr>
    </w:p>
    <w:p>
      <w:pPr>
        <w:keepNext w:val="0"/>
        <w:keepLines w:val="0"/>
        <w:pageBreakBefore w:val="0"/>
        <w:kinsoku/>
        <w:wordWrap/>
        <w:overflowPunct/>
        <w:topLinePunct w:val="0"/>
        <w:autoSpaceDE/>
        <w:autoSpaceDN/>
        <w:bidi w:val="0"/>
        <w:adjustRightInd/>
        <w:snapToGrid/>
        <w:spacing w:line="580" w:lineRule="exact"/>
        <w:textAlignment w:val="auto"/>
        <w:rPr>
          <w:rFonts w:ascii="仿宋" w:hAnsi="仿宋" w:eastAsia="仿宋"/>
          <w:b/>
          <w:sz w:val="32"/>
          <w:szCs w:val="32"/>
        </w:rPr>
      </w:pPr>
      <w:r>
        <w:rPr>
          <w:rFonts w:hint="eastAsia" w:ascii="仿宋" w:hAnsi="仿宋" w:eastAsia="仿宋"/>
          <w:b/>
          <w:sz w:val="32"/>
          <w:szCs w:val="32"/>
        </w:rPr>
        <w:t>各相关单位、企业、个人、社会组织：</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永清县行政审批局新增</w:t>
      </w:r>
      <w:r>
        <w:rPr>
          <w:rFonts w:hint="eastAsia" w:ascii="仿宋" w:hAnsi="仿宋" w:eastAsia="仿宋"/>
          <w:sz w:val="32"/>
          <w:szCs w:val="32"/>
          <w:lang w:val="en-US" w:eastAsia="zh-CN"/>
        </w:rPr>
        <w:t>审批</w:t>
      </w:r>
      <w:r>
        <w:rPr>
          <w:rFonts w:hint="eastAsia" w:ascii="仿宋" w:hAnsi="仿宋" w:eastAsia="仿宋"/>
          <w:sz w:val="32"/>
          <w:szCs w:val="32"/>
        </w:rPr>
        <w:t>事项</w:t>
      </w:r>
      <w:r>
        <w:rPr>
          <w:rFonts w:hint="eastAsia" w:ascii="仿宋" w:hAnsi="仿宋" w:eastAsia="仿宋"/>
          <w:sz w:val="32"/>
          <w:szCs w:val="32"/>
          <w:lang w:val="en-US" w:eastAsia="zh-CN"/>
        </w:rPr>
        <w:t>48</w:t>
      </w:r>
      <w:r>
        <w:rPr>
          <w:rFonts w:hint="eastAsia" w:ascii="仿宋" w:hAnsi="仿宋" w:eastAsia="仿宋"/>
          <w:sz w:val="32"/>
          <w:szCs w:val="32"/>
        </w:rPr>
        <w:t>项，即日起可正式受理，特此公告：</w:t>
      </w:r>
    </w:p>
    <w:p>
      <w:pPr>
        <w:pStyle w:val="9"/>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黑体" w:hAnsi="黑体" w:eastAsia="黑体"/>
          <w:b w:val="0"/>
          <w:bCs/>
          <w:sz w:val="32"/>
          <w:szCs w:val="32"/>
        </w:rPr>
      </w:pPr>
      <w:r>
        <w:rPr>
          <w:rFonts w:hint="eastAsia" w:ascii="黑体" w:hAnsi="黑体" w:eastAsia="黑体"/>
          <w:b w:val="0"/>
          <w:bCs/>
          <w:sz w:val="32"/>
          <w:szCs w:val="32"/>
          <w:lang w:val="en-US" w:eastAsia="zh-CN"/>
        </w:rPr>
        <w:t>一、</w:t>
      </w:r>
      <w:r>
        <w:rPr>
          <w:rFonts w:hint="eastAsia" w:ascii="黑体" w:hAnsi="黑体" w:eastAsia="黑体"/>
          <w:b w:val="0"/>
          <w:bCs/>
          <w:sz w:val="32"/>
          <w:szCs w:val="32"/>
        </w:rPr>
        <w:t>行政许可事项名称</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firstLine="630" w:firstLineChars="196"/>
        <w:textAlignment w:val="auto"/>
        <w:rPr>
          <w:rFonts w:ascii="楷体" w:hAnsi="楷体" w:eastAsia="楷体"/>
          <w:b/>
          <w:sz w:val="32"/>
          <w:szCs w:val="32"/>
        </w:rPr>
      </w:pPr>
      <w:r>
        <w:rPr>
          <w:rFonts w:hint="eastAsia" w:ascii="楷体" w:hAnsi="楷体" w:eastAsia="楷体"/>
          <w:b/>
          <w:sz w:val="32"/>
          <w:szCs w:val="32"/>
        </w:rPr>
        <w:t>（一）新增事项</w:t>
      </w:r>
      <w:r>
        <w:rPr>
          <w:rFonts w:hint="eastAsia" w:ascii="楷体" w:hAnsi="楷体" w:eastAsia="楷体"/>
          <w:b/>
          <w:sz w:val="32"/>
          <w:szCs w:val="32"/>
          <w:lang w:val="en-US" w:eastAsia="zh-CN"/>
        </w:rPr>
        <w:t>48</w:t>
      </w:r>
      <w:r>
        <w:rPr>
          <w:rFonts w:hint="eastAsia" w:ascii="楷体" w:hAnsi="楷体" w:eastAsia="楷体"/>
          <w:b/>
          <w:sz w:val="32"/>
          <w:szCs w:val="32"/>
        </w:rPr>
        <w:t>项</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firstLine="630" w:firstLineChars="196"/>
        <w:textAlignment w:val="auto"/>
        <w:rPr>
          <w:rFonts w:hint="eastAsia" w:ascii="仿宋_GB2312" w:hAnsi="仿宋_GB2312" w:eastAsia="仿宋_GB2312" w:cs="仿宋_GB2312"/>
          <w:color w:val="000000"/>
          <w:sz w:val="32"/>
          <w:szCs w:val="32"/>
        </w:rPr>
      </w:pPr>
      <w:r>
        <w:rPr>
          <w:rFonts w:hint="eastAsia" w:ascii="仿宋" w:hAnsi="仿宋" w:eastAsia="仿宋" w:cs="Times New Roman"/>
          <w:b/>
          <w:bCs/>
          <w:color w:val="000000"/>
          <w:sz w:val="32"/>
          <w:szCs w:val="32"/>
        </w:rPr>
        <w:t>1、</w:t>
      </w:r>
      <w:r>
        <w:rPr>
          <w:rFonts w:hint="eastAsia" w:ascii="仿宋_GB2312" w:hAnsi="仿宋_GB2312" w:eastAsia="仿宋_GB2312" w:cs="仿宋_GB2312"/>
          <w:b/>
          <w:bCs/>
          <w:color w:val="000000"/>
          <w:sz w:val="32"/>
          <w:szCs w:val="32"/>
        </w:rPr>
        <w:t>原自然资源和规划局</w:t>
      </w: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color w:val="000000"/>
          <w:sz w:val="32"/>
          <w:szCs w:val="32"/>
        </w:rPr>
        <w:t>项业务：</w:t>
      </w:r>
      <w:r>
        <w:rPr>
          <w:rFonts w:hint="eastAsia" w:ascii="仿宋_GB2312" w:hAnsi="仿宋_GB2312" w:eastAsia="仿宋_GB2312" w:cs="仿宋_GB2312"/>
          <w:color w:val="000000"/>
          <w:sz w:val="32"/>
          <w:szCs w:val="32"/>
        </w:rPr>
        <w:t>草种经营许可证核发 ；在风景名胜内从事建设、设置广告、举办大型游乐活动以及其他影响和景观活动许可；</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firstLine="630" w:firstLineChars="196"/>
        <w:textAlignment w:val="auto"/>
        <w:rPr>
          <w:rFonts w:hint="eastAsia" w:ascii="仿宋_GB2312" w:hAnsi="仿宋_GB2312" w:eastAsia="仿宋_GB2312" w:cs="仿宋_GB2312"/>
          <w:color w:val="000000"/>
          <w:sz w:val="32"/>
          <w:szCs w:val="32"/>
          <w:lang w:eastAsia="zh-CN"/>
        </w:rPr>
      </w:pPr>
      <w:r>
        <w:rPr>
          <w:rFonts w:hint="eastAsia" w:ascii="仿宋" w:hAnsi="仿宋" w:eastAsia="仿宋" w:cs="Times New Roman"/>
          <w:b/>
          <w:bCs/>
          <w:color w:val="000000"/>
          <w:sz w:val="32"/>
          <w:szCs w:val="32"/>
        </w:rPr>
        <w:t xml:space="preserve"> 现办理部门：</w:t>
      </w:r>
      <w:r>
        <w:rPr>
          <w:rFonts w:hint="eastAsia" w:ascii="仿宋_GB2312" w:hAnsi="仿宋_GB2312" w:eastAsia="仿宋_GB2312" w:cs="仿宋_GB2312"/>
          <w:color w:val="000000"/>
          <w:sz w:val="32"/>
          <w:szCs w:val="32"/>
        </w:rPr>
        <w:t>永清县行政审批局</w:t>
      </w:r>
      <w:r>
        <w:rPr>
          <w:rFonts w:hint="eastAsia" w:ascii="仿宋_GB2312" w:hAnsi="仿宋_GB2312" w:eastAsia="仿宋_GB2312" w:cs="仿宋_GB2312"/>
          <w:color w:val="000000"/>
          <w:sz w:val="32"/>
          <w:szCs w:val="32"/>
          <w:lang w:eastAsia="zh-CN"/>
        </w:rPr>
        <w:t>农林水务股</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2、原水务局2项业务：</w:t>
      </w:r>
      <w:r>
        <w:rPr>
          <w:rFonts w:hint="eastAsia" w:ascii="仿宋_GB2312" w:hAnsi="仿宋_GB2312" w:eastAsia="仿宋_GB2312" w:cs="仿宋_GB2312"/>
          <w:color w:val="000000"/>
          <w:kern w:val="0"/>
          <w:sz w:val="32"/>
          <w:szCs w:val="32"/>
          <w:lang w:val="en-US" w:eastAsia="zh-CN" w:bidi="ar-SA"/>
        </w:rPr>
        <w:t>水利基建项目初步设计文件审批；城市建设填堵水域、废除围堤审核。</w:t>
      </w:r>
    </w:p>
    <w:p>
      <w:pPr>
        <w:keepNext w:val="0"/>
        <w:keepLines w:val="0"/>
        <w:pageBreakBefore w:val="0"/>
        <w:widowControl/>
        <w:kinsoku/>
        <w:wordWrap/>
        <w:overflowPunct/>
        <w:topLinePunct w:val="0"/>
        <w:autoSpaceDE/>
        <w:autoSpaceDN/>
        <w:bidi w:val="0"/>
        <w:adjustRightInd/>
        <w:snapToGrid/>
        <w:spacing w:line="580" w:lineRule="exact"/>
        <w:ind w:firstLine="472" w:firstLineChars="147"/>
        <w:textAlignment w:val="auto"/>
        <w:rPr>
          <w:rFonts w:hint="eastAsia" w:ascii="仿宋" w:hAnsi="仿宋" w:eastAsia="仿宋" w:cs="宋体"/>
          <w:kern w:val="0"/>
          <w:sz w:val="32"/>
          <w:szCs w:val="32"/>
          <w:lang w:eastAsia="zh-CN"/>
        </w:rPr>
      </w:pPr>
      <w:r>
        <w:rPr>
          <w:rFonts w:hint="eastAsia" w:ascii="仿宋" w:hAnsi="仿宋" w:eastAsia="仿宋" w:cs="Times New Roman"/>
          <w:b/>
          <w:bCs/>
          <w:color w:val="000000"/>
          <w:kern w:val="0"/>
          <w:sz w:val="32"/>
          <w:szCs w:val="32"/>
          <w:lang w:val="en-US" w:eastAsia="zh-CN" w:bidi="ar-SA"/>
        </w:rPr>
        <w:t xml:space="preserve"> 现办理部门：</w:t>
      </w:r>
      <w:r>
        <w:rPr>
          <w:rFonts w:hint="eastAsia" w:ascii="仿宋" w:hAnsi="仿宋" w:eastAsia="仿宋" w:cs="宋体"/>
          <w:kern w:val="0"/>
          <w:sz w:val="32"/>
          <w:szCs w:val="32"/>
        </w:rPr>
        <w:t>永清县行政审批局</w:t>
      </w:r>
      <w:r>
        <w:rPr>
          <w:rFonts w:hint="eastAsia" w:ascii="仿宋" w:hAnsi="仿宋" w:eastAsia="仿宋" w:cs="宋体"/>
          <w:kern w:val="0"/>
          <w:sz w:val="32"/>
          <w:szCs w:val="32"/>
          <w:lang w:eastAsia="zh-CN"/>
        </w:rPr>
        <w:t>农林水务股</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3、原农业农村局7项业务</w:t>
      </w:r>
      <w:r>
        <w:rPr>
          <w:rFonts w:hint="eastAsia" w:ascii="仿宋_GB2312" w:hAnsi="仿宋_GB2312" w:eastAsia="仿宋_GB2312" w:cs="仿宋_GB2312"/>
          <w:color w:val="000000"/>
          <w:kern w:val="0"/>
          <w:sz w:val="32"/>
          <w:szCs w:val="32"/>
          <w:lang w:val="en-US" w:eastAsia="zh-CN" w:bidi="ar-SA"/>
        </w:rPr>
        <w:t>：拖拉机驾驶培训学校、驾驶培训班资格认定；采集、出售、收购国家二级保护野生植物（农业类）审批；新选育或引进蚕品种中间试验同意；在渔港内新建、改建、扩建各种设施，或者进行其他水上、水下施工作业审批；渔港水域渔业船舶水上拆解活动审批；国家二级保护水生野生动物捕捉许可；动物防疫条件合格证核发。</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永清县行政审批局农林水务股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4、原建设局11项业务：</w:t>
      </w:r>
      <w:r>
        <w:rPr>
          <w:rFonts w:hint="eastAsia" w:ascii="仿宋_GB2312" w:hAnsi="仿宋_GB2312" w:eastAsia="仿宋_GB2312" w:cs="仿宋_GB2312"/>
          <w:color w:val="000000"/>
          <w:kern w:val="0"/>
          <w:sz w:val="32"/>
          <w:szCs w:val="32"/>
          <w:lang w:val="en-US" w:eastAsia="zh-CN" w:bidi="ar-SA"/>
        </w:rPr>
        <w:t>建设项目规划设计方案（修建性详细规划）技术审查；关闭、闲置拆除城市环卫设施许可；从事生活垃圾（含粪便）经营性清扫、收集、运输、处理服务许可；城市建筑垃圾处置核准；各设市城市、扩权县餐厨废弃物处置、收集、运输从业许可；拆除环境卫生设施拆迁方案批准；工程建设涉及城市绿地、树木审批；防空地下室建设审批；防空地下室竣工验收；人防通信、警报设施拆除、迁移批准；在危及人防工程安全范围内埋设管道、修建地面工程审批及人防工程改造、拆除审批。</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Times New Roman"/>
          <w:b/>
          <w:bCs/>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永清县行政审批局住建交通股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5、原交通局10项业务：</w:t>
      </w:r>
      <w:r>
        <w:rPr>
          <w:rFonts w:hint="eastAsia" w:ascii="仿宋_GB2312" w:hAnsi="仿宋_GB2312" w:eastAsia="仿宋_GB2312" w:cs="仿宋_GB2312"/>
          <w:color w:val="000000"/>
          <w:kern w:val="0"/>
          <w:sz w:val="32"/>
          <w:szCs w:val="32"/>
          <w:lang w:val="en-US" w:eastAsia="zh-CN" w:bidi="ar-SA"/>
        </w:rPr>
        <w:t>道路旅客运输经营许可；公路超限运输许可；在公路增设或改造平面交叉道口审批；道路货运运输经营许可；机动车驾驶员培训许可；县管权限交通建设项目初步设计审批；县内客运业户开业、增项经营许可；出租汽车道路运输证核发；公路建设项目设计审批；公路建设项目竣工验收。</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永清县行政审批局住建交通股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Times New Roman"/>
          <w:b/>
          <w:bCs/>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6、原教育和体育局1项业务：</w:t>
      </w:r>
      <w:r>
        <w:rPr>
          <w:rFonts w:hint="eastAsia" w:ascii="仿宋_GB2312" w:hAnsi="仿宋_GB2312" w:eastAsia="仿宋_GB2312" w:cs="仿宋_GB2312"/>
          <w:color w:val="000000"/>
          <w:kern w:val="0"/>
          <w:sz w:val="32"/>
          <w:szCs w:val="32"/>
          <w:lang w:val="en-US" w:eastAsia="zh-CN" w:bidi="ar-SA"/>
        </w:rPr>
        <w:t>教师资格认定。</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永清县行政审批局社会事务股</w:t>
      </w:r>
    </w:p>
    <w:p>
      <w:pPr>
        <w:keepNext w:val="0"/>
        <w:keepLines w:val="0"/>
        <w:pageBreakBefore w:val="0"/>
        <w:widowControl/>
        <w:numPr>
          <w:ilvl w:val="0"/>
          <w:numId w:val="1"/>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原文化广电和旅游局5项业务：</w:t>
      </w:r>
      <w:r>
        <w:rPr>
          <w:rFonts w:hint="eastAsia" w:ascii="仿宋_GB2312" w:hAnsi="仿宋_GB2312" w:eastAsia="仿宋_GB2312" w:cs="仿宋_GB2312"/>
          <w:color w:val="000000"/>
          <w:kern w:val="0"/>
          <w:sz w:val="32"/>
          <w:szCs w:val="32"/>
          <w:lang w:val="en-US" w:eastAsia="zh-CN" w:bidi="ar-SA"/>
        </w:rPr>
        <w:t>互联网上网服务营业场所经营单位设立审批；营业性演出审批；娱乐场所从事娱乐场所经营活动设立审批；文艺表演团体从事营业性演出活动设立审批；设置卫星电视广播地面接收设施审批（境内节目）。</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永清县行政审批局社会事务股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8、原卫生健康局4项业务：</w:t>
      </w:r>
      <w:r>
        <w:rPr>
          <w:rFonts w:hint="eastAsia" w:ascii="仿宋_GB2312" w:hAnsi="仿宋_GB2312" w:eastAsia="仿宋_GB2312" w:cs="仿宋_GB2312"/>
          <w:color w:val="000000"/>
          <w:kern w:val="0"/>
          <w:sz w:val="32"/>
          <w:szCs w:val="32"/>
          <w:lang w:val="en-US" w:eastAsia="zh-CN" w:bidi="ar-SA"/>
        </w:rPr>
        <w:t>母婴保健服务人员资格认定；再生育审批；医师执业注册；护士执业注册。</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永清县行政审批局社会事务股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9、原应急管理局1项业务：</w:t>
      </w:r>
      <w:r>
        <w:rPr>
          <w:rFonts w:hint="eastAsia" w:ascii="仿宋_GB2312" w:hAnsi="仿宋_GB2312" w:eastAsia="仿宋_GB2312" w:cs="仿宋_GB2312"/>
          <w:color w:val="000000"/>
          <w:kern w:val="0"/>
          <w:sz w:val="32"/>
          <w:szCs w:val="32"/>
          <w:lang w:val="en-US" w:eastAsia="zh-CN" w:bidi="ar-SA"/>
        </w:rPr>
        <w:t>第三类非药品类易制毒化学品经营备案证明。</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永清县行政审批局市场服务股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10、原发展和改革局3项业务：</w:t>
      </w:r>
      <w:r>
        <w:rPr>
          <w:rFonts w:hint="eastAsia" w:ascii="仿宋_GB2312" w:hAnsi="仿宋_GB2312" w:eastAsia="仿宋_GB2312" w:cs="仿宋_GB2312"/>
          <w:color w:val="000000"/>
          <w:kern w:val="0"/>
          <w:sz w:val="32"/>
          <w:szCs w:val="32"/>
          <w:lang w:val="en-US" w:eastAsia="zh-CN" w:bidi="ar-SA"/>
        </w:rPr>
        <w:t>石油天然气管道保护范围内埋设管道、修建地面工程审批及人防工程改造、拆除审批；在电力设施周围或电力设施保护区内进行可能危及电力设施安全作业的审批；对外贸易经营者备案登记。</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永清县行政审批局投资项目股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11、原建设局2项业务：</w:t>
      </w:r>
      <w:r>
        <w:rPr>
          <w:rFonts w:hint="eastAsia" w:ascii="仿宋_GB2312" w:hAnsi="仿宋_GB2312" w:eastAsia="仿宋_GB2312" w:cs="仿宋_GB2312"/>
          <w:color w:val="000000"/>
          <w:kern w:val="0"/>
          <w:sz w:val="32"/>
          <w:szCs w:val="32"/>
          <w:lang w:val="en-US" w:eastAsia="zh-CN" w:bidi="ar-SA"/>
        </w:rPr>
        <w:t>建设工程消防设计审查；建设工程消防验收。</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Times New Roman"/>
          <w:b/>
          <w:bCs/>
          <w:color w:val="000000"/>
          <w:kern w:val="0"/>
          <w:sz w:val="32"/>
          <w:szCs w:val="32"/>
          <w:lang w:val="en-US" w:eastAsia="zh-CN" w:bidi="ar-SA"/>
        </w:rPr>
        <w:t>现办理部门：</w:t>
      </w:r>
      <w:r>
        <w:rPr>
          <w:rFonts w:hint="eastAsia" w:ascii="仿宋_GB2312" w:hAnsi="仿宋_GB2312" w:eastAsia="仿宋_GB2312" w:cs="仿宋_GB2312"/>
          <w:color w:val="000000"/>
          <w:kern w:val="0"/>
          <w:sz w:val="32"/>
          <w:szCs w:val="32"/>
          <w:lang w:val="en-US" w:eastAsia="zh-CN" w:bidi="ar-SA"/>
        </w:rPr>
        <w:t>永清县行政审批局投资项目股</w:t>
      </w:r>
    </w:p>
    <w:p>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以上公告行政许可事项，原单位停止办理，行政审批局开始受理。</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黑体" w:hAnsi="黑体" w:eastAsia="黑体" w:cs="宋体"/>
          <w:kern w:val="0"/>
          <w:sz w:val="32"/>
          <w:szCs w:val="32"/>
        </w:rPr>
      </w:pPr>
      <w:r>
        <w:rPr>
          <w:rFonts w:hint="eastAsia" w:ascii="黑体" w:hAnsi="黑体" w:eastAsia="黑体" w:cs="宋体"/>
          <w:kern w:val="0"/>
          <w:sz w:val="32"/>
          <w:szCs w:val="32"/>
        </w:rPr>
        <w:t>二、受理时间</w:t>
      </w:r>
      <w:bookmarkStart w:id="0" w:name="_GoBack"/>
      <w:bookmarkEnd w:id="0"/>
    </w:p>
    <w:p>
      <w:pPr>
        <w:keepNext w:val="0"/>
        <w:keepLines w:val="0"/>
        <w:pageBreakBefore w:val="0"/>
        <w:widowControl/>
        <w:kinsoku/>
        <w:wordWrap/>
        <w:overflowPunct/>
        <w:topLinePunct w:val="0"/>
        <w:autoSpaceDE/>
        <w:autoSpaceDN/>
        <w:bidi w:val="0"/>
        <w:adjustRightInd/>
        <w:snapToGrid/>
        <w:spacing w:line="580" w:lineRule="exact"/>
        <w:ind w:firstLine="634"/>
        <w:textAlignment w:val="auto"/>
        <w:rPr>
          <w:rFonts w:ascii="仿宋" w:hAnsi="仿宋" w:eastAsia="仿宋" w:cs="宋体"/>
          <w:kern w:val="0"/>
          <w:sz w:val="32"/>
          <w:szCs w:val="32"/>
        </w:rPr>
      </w:pPr>
      <w:r>
        <w:rPr>
          <w:rFonts w:hint="eastAsia" w:ascii="仿宋" w:hAnsi="仿宋" w:eastAsia="仿宋" w:cs="宋体"/>
          <w:kern w:val="0"/>
          <w:sz w:val="32"/>
          <w:szCs w:val="32"/>
        </w:rPr>
        <w:t xml:space="preserve"> 20</w:t>
      </w:r>
      <w:r>
        <w:rPr>
          <w:rFonts w:hint="eastAsia" w:ascii="仿宋" w:hAnsi="仿宋" w:eastAsia="仿宋" w:cs="宋体"/>
          <w:kern w:val="0"/>
          <w:sz w:val="32"/>
          <w:szCs w:val="32"/>
          <w:lang w:val="en-US" w:eastAsia="zh-CN"/>
        </w:rPr>
        <w:t>20</w:t>
      </w:r>
      <w:r>
        <w:rPr>
          <w:rFonts w:hint="eastAsia" w:ascii="仿宋" w:hAnsi="仿宋" w:eastAsia="仿宋" w:cs="宋体"/>
          <w:kern w:val="0"/>
          <w:sz w:val="32"/>
          <w:szCs w:val="32"/>
        </w:rPr>
        <w:t>年</w:t>
      </w:r>
      <w:r>
        <w:rPr>
          <w:rFonts w:hint="eastAsia" w:ascii="仿宋" w:hAnsi="仿宋" w:eastAsia="仿宋" w:cs="宋体"/>
          <w:kern w:val="0"/>
          <w:sz w:val="32"/>
          <w:szCs w:val="32"/>
          <w:lang w:val="en-US" w:eastAsia="zh-CN"/>
        </w:rPr>
        <w:t xml:space="preserve"> 3</w:t>
      </w:r>
      <w:r>
        <w:rPr>
          <w:rFonts w:hint="eastAsia" w:ascii="仿宋" w:hAnsi="仿宋" w:eastAsia="仿宋" w:cs="宋体"/>
          <w:kern w:val="0"/>
          <w:sz w:val="32"/>
          <w:szCs w:val="32"/>
        </w:rPr>
        <w:t>月</w:t>
      </w:r>
      <w:r>
        <w:rPr>
          <w:rFonts w:hint="eastAsia" w:ascii="仿宋" w:hAnsi="仿宋" w:eastAsia="仿宋" w:cs="宋体"/>
          <w:kern w:val="0"/>
          <w:sz w:val="32"/>
          <w:szCs w:val="32"/>
          <w:lang w:val="en-US" w:eastAsia="zh-CN"/>
        </w:rPr>
        <w:t>20</w:t>
      </w:r>
      <w:r>
        <w:rPr>
          <w:rFonts w:hint="eastAsia" w:ascii="仿宋" w:hAnsi="仿宋" w:eastAsia="仿宋" w:cs="宋体"/>
          <w:kern w:val="0"/>
          <w:sz w:val="32"/>
          <w:szCs w:val="32"/>
        </w:rPr>
        <w:t>日</w:t>
      </w:r>
    </w:p>
    <w:p>
      <w:pPr>
        <w:keepNext w:val="0"/>
        <w:keepLines w:val="0"/>
        <w:pageBreakBefore w:val="0"/>
        <w:widowControl/>
        <w:kinsoku/>
        <w:wordWrap/>
        <w:overflowPunct/>
        <w:topLinePunct w:val="0"/>
        <w:autoSpaceDE/>
        <w:autoSpaceDN/>
        <w:bidi w:val="0"/>
        <w:adjustRightInd/>
        <w:snapToGrid/>
        <w:spacing w:line="580" w:lineRule="exact"/>
        <w:ind w:firstLine="634"/>
        <w:textAlignment w:val="auto"/>
        <w:rPr>
          <w:rFonts w:ascii="黑体" w:hAnsi="黑体" w:eastAsia="黑体" w:cs="宋体"/>
          <w:kern w:val="0"/>
          <w:sz w:val="32"/>
          <w:szCs w:val="32"/>
        </w:rPr>
      </w:pPr>
      <w:r>
        <w:rPr>
          <w:rFonts w:hint="eastAsia" w:ascii="黑体" w:hAnsi="黑体" w:eastAsia="黑体" w:cs="宋体"/>
          <w:kern w:val="0"/>
          <w:sz w:val="32"/>
          <w:szCs w:val="32"/>
        </w:rPr>
        <w:t>三、办公地址</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ascii="仿宋" w:hAnsi="仿宋" w:eastAsia="仿宋"/>
          <w:sz w:val="32"/>
          <w:szCs w:val="32"/>
        </w:rPr>
      </w:pPr>
      <w:r>
        <w:rPr>
          <w:rFonts w:hint="eastAsia" w:ascii="仿宋" w:hAnsi="仿宋" w:eastAsia="仿宋"/>
          <w:sz w:val="32"/>
          <w:szCs w:val="32"/>
        </w:rPr>
        <w:tab/>
      </w:r>
      <w:r>
        <w:rPr>
          <w:rFonts w:hint="eastAsia" w:ascii="仿宋" w:hAnsi="仿宋" w:eastAsia="仿宋"/>
          <w:sz w:val="32"/>
          <w:szCs w:val="32"/>
        </w:rPr>
        <w:t>县人民公园廊霸路东行一公里</w:t>
      </w:r>
    </w:p>
    <w:p>
      <w:pPr>
        <w:keepNext w:val="0"/>
        <w:keepLines w:val="0"/>
        <w:pageBreakBefore w:val="0"/>
        <w:kinsoku/>
        <w:wordWrap/>
        <w:overflowPunct/>
        <w:topLinePunct w:val="0"/>
        <w:autoSpaceDE/>
        <w:autoSpaceDN/>
        <w:bidi w:val="0"/>
        <w:adjustRightInd/>
        <w:snapToGrid/>
        <w:spacing w:line="580" w:lineRule="exact"/>
        <w:ind w:firstLine="4480" w:firstLineChars="1400"/>
        <w:jc w:val="right"/>
        <w:textAlignment w:val="auto"/>
        <w:rPr>
          <w:rFonts w:ascii="仿宋" w:hAnsi="仿宋" w:eastAsia="仿宋"/>
          <w:sz w:val="32"/>
          <w:szCs w:val="32"/>
        </w:rPr>
      </w:pPr>
    </w:p>
    <w:p>
      <w:pPr>
        <w:keepNext w:val="0"/>
        <w:keepLines w:val="0"/>
        <w:pageBreakBefore w:val="0"/>
        <w:kinsoku/>
        <w:wordWrap/>
        <w:overflowPunct/>
        <w:topLinePunct w:val="0"/>
        <w:autoSpaceDE/>
        <w:autoSpaceDN/>
        <w:bidi w:val="0"/>
        <w:adjustRightInd/>
        <w:snapToGrid/>
        <w:spacing w:line="580" w:lineRule="exact"/>
        <w:ind w:firstLine="4480" w:firstLineChars="1400"/>
        <w:jc w:val="right"/>
        <w:textAlignment w:val="auto"/>
        <w:rPr>
          <w:rFonts w:ascii="仿宋" w:hAnsi="仿宋" w:eastAsia="仿宋"/>
          <w:sz w:val="32"/>
          <w:szCs w:val="32"/>
        </w:rPr>
      </w:pPr>
      <w:r>
        <w:rPr>
          <w:rFonts w:hint="eastAsia" w:ascii="仿宋" w:hAnsi="仿宋" w:eastAsia="仿宋"/>
          <w:sz w:val="32"/>
          <w:szCs w:val="32"/>
        </w:rPr>
        <w:t>永清县行政审批局</w:t>
      </w:r>
    </w:p>
    <w:p>
      <w:pPr>
        <w:keepNext w:val="0"/>
        <w:keepLines w:val="0"/>
        <w:pageBreakBefore w:val="0"/>
        <w:kinsoku/>
        <w:wordWrap/>
        <w:overflowPunct/>
        <w:topLinePunct w:val="0"/>
        <w:autoSpaceDE/>
        <w:autoSpaceDN/>
        <w:bidi w:val="0"/>
        <w:adjustRightInd/>
        <w:snapToGrid/>
        <w:spacing w:line="580" w:lineRule="exact"/>
        <w:ind w:firstLine="4640" w:firstLineChars="1450"/>
        <w:jc w:val="center"/>
        <w:textAlignment w:val="auto"/>
        <w:rPr>
          <w:rFonts w:ascii="仿宋" w:hAnsi="仿宋" w:eastAsia="仿宋"/>
          <w:sz w:val="32"/>
          <w:szCs w:val="32"/>
        </w:rPr>
      </w:pPr>
      <w:r>
        <w:rPr>
          <w:rFonts w:hint="eastAsia" w:ascii="仿宋" w:hAnsi="仿宋" w:eastAsia="仿宋"/>
          <w:sz w:val="32"/>
          <w:szCs w:val="32"/>
          <w:lang w:val="en-US" w:eastAsia="zh-CN"/>
        </w:rPr>
        <w:t xml:space="preserve">       2020</w:t>
      </w:r>
      <w:r>
        <w:rPr>
          <w:rFonts w:hint="eastAsia" w:ascii="仿宋" w:hAnsi="仿宋" w:eastAsia="仿宋"/>
          <w:sz w:val="32"/>
          <w:szCs w:val="32"/>
        </w:rPr>
        <w:t>年</w:t>
      </w:r>
      <w:r>
        <w:rPr>
          <w:rFonts w:hint="eastAsia" w:ascii="仿宋" w:hAnsi="仿宋" w:eastAsia="仿宋"/>
          <w:sz w:val="32"/>
          <w:szCs w:val="32"/>
          <w:lang w:val="en-US" w:eastAsia="zh-CN"/>
        </w:rPr>
        <w:t>3</w:t>
      </w:r>
      <w:r>
        <w:rPr>
          <w:rFonts w:hint="eastAsia" w:ascii="仿宋" w:hAnsi="仿宋" w:eastAsia="仿宋"/>
          <w:sz w:val="32"/>
          <w:szCs w:val="32"/>
        </w:rPr>
        <w:t>月</w:t>
      </w:r>
      <w:r>
        <w:rPr>
          <w:rFonts w:hint="eastAsia" w:ascii="仿宋" w:hAnsi="仿宋" w:eastAsia="仿宋"/>
          <w:sz w:val="32"/>
          <w:szCs w:val="32"/>
          <w:lang w:val="en-US" w:eastAsia="zh-CN"/>
        </w:rPr>
        <w:t>20</w:t>
      </w:r>
      <w:r>
        <w:rPr>
          <w:rFonts w:hint="eastAsia" w:ascii="仿宋" w:hAnsi="仿宋" w:eastAsia="仿宋"/>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13550B"/>
    <w:multiLevelType w:val="singleLevel"/>
    <w:tmpl w:val="2413550B"/>
    <w:lvl w:ilvl="0" w:tentative="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F6816"/>
    <w:rsid w:val="00013939"/>
    <w:rsid w:val="0003299B"/>
    <w:rsid w:val="00046F5F"/>
    <w:rsid w:val="00055FCB"/>
    <w:rsid w:val="0005645E"/>
    <w:rsid w:val="000E4742"/>
    <w:rsid w:val="000E7E25"/>
    <w:rsid w:val="00154B1A"/>
    <w:rsid w:val="002043DF"/>
    <w:rsid w:val="00297B88"/>
    <w:rsid w:val="002D77EF"/>
    <w:rsid w:val="003403A0"/>
    <w:rsid w:val="003672A6"/>
    <w:rsid w:val="004C55D5"/>
    <w:rsid w:val="004D521F"/>
    <w:rsid w:val="004F6816"/>
    <w:rsid w:val="0061313A"/>
    <w:rsid w:val="0062582C"/>
    <w:rsid w:val="006904F0"/>
    <w:rsid w:val="006A163A"/>
    <w:rsid w:val="006B2D11"/>
    <w:rsid w:val="006B7FBB"/>
    <w:rsid w:val="006F3FBB"/>
    <w:rsid w:val="00706778"/>
    <w:rsid w:val="00902A39"/>
    <w:rsid w:val="009132A3"/>
    <w:rsid w:val="009E3AE2"/>
    <w:rsid w:val="00A523F9"/>
    <w:rsid w:val="00A94B81"/>
    <w:rsid w:val="00B35A74"/>
    <w:rsid w:val="00B505FB"/>
    <w:rsid w:val="00B94A2D"/>
    <w:rsid w:val="00C0113C"/>
    <w:rsid w:val="00C66E57"/>
    <w:rsid w:val="00CC6512"/>
    <w:rsid w:val="00DB7766"/>
    <w:rsid w:val="00E5397F"/>
    <w:rsid w:val="00EC52B0"/>
    <w:rsid w:val="00EF7BA4"/>
    <w:rsid w:val="00F325EC"/>
    <w:rsid w:val="00FC26BD"/>
    <w:rsid w:val="00FC7F98"/>
    <w:rsid w:val="0AAA6394"/>
    <w:rsid w:val="0AD10542"/>
    <w:rsid w:val="0C711FDF"/>
    <w:rsid w:val="0D142812"/>
    <w:rsid w:val="0DE54FED"/>
    <w:rsid w:val="0FEA43D4"/>
    <w:rsid w:val="10A2026F"/>
    <w:rsid w:val="15005B9F"/>
    <w:rsid w:val="157A321B"/>
    <w:rsid w:val="16816F35"/>
    <w:rsid w:val="16990276"/>
    <w:rsid w:val="181F172C"/>
    <w:rsid w:val="1C421679"/>
    <w:rsid w:val="20655E4E"/>
    <w:rsid w:val="225A0255"/>
    <w:rsid w:val="23B831B1"/>
    <w:rsid w:val="254E70BC"/>
    <w:rsid w:val="25EE0A92"/>
    <w:rsid w:val="29B25E33"/>
    <w:rsid w:val="2D373484"/>
    <w:rsid w:val="309828A6"/>
    <w:rsid w:val="3B5C784A"/>
    <w:rsid w:val="3C2C3E86"/>
    <w:rsid w:val="4BE35ABB"/>
    <w:rsid w:val="4F69643F"/>
    <w:rsid w:val="50CB22EE"/>
    <w:rsid w:val="589003CF"/>
    <w:rsid w:val="5E75348A"/>
    <w:rsid w:val="5EE215EC"/>
    <w:rsid w:val="60A74290"/>
    <w:rsid w:val="62165D12"/>
    <w:rsid w:val="62297105"/>
    <w:rsid w:val="67B05BE0"/>
    <w:rsid w:val="691E3970"/>
    <w:rsid w:val="69757746"/>
    <w:rsid w:val="6E276633"/>
    <w:rsid w:val="6EA12E83"/>
    <w:rsid w:val="7234298E"/>
    <w:rsid w:val="730C0223"/>
    <w:rsid w:val="743628F3"/>
    <w:rsid w:val="74454ACC"/>
    <w:rsid w:val="75D928EA"/>
    <w:rsid w:val="7F2622E7"/>
    <w:rsid w:val="7F474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C6F648-C9F1-4511-ABC7-00054C6EED8E}">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133</Words>
  <Characters>760</Characters>
  <Lines>6</Lines>
  <Paragraphs>1</Paragraphs>
  <TotalTime>1</TotalTime>
  <ScaleCrop>false</ScaleCrop>
  <LinksUpToDate>false</LinksUpToDate>
  <CharactersWithSpaces>892</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2018-02-05T05:06:00Z</dcterms:created>
  <dc:creator>spj008</dc:creator>
  <cp:lastModifiedBy>user1111</cp:lastModifiedBy>
  <cp:lastPrinted>2020-03-20T08:39:00Z</cp:lastPrinted>
  <dcterms:modified xsi:type="dcterms:W3CDTF">2020-03-20T08:46:17Z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