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63" w:firstLineChars="150"/>
        <w:rPr>
          <w:b/>
          <w:bCs/>
          <w:sz w:val="44"/>
          <w:szCs w:val="44"/>
        </w:rPr>
      </w:pPr>
      <w:r>
        <w:rPr>
          <w:rFonts w:hint="eastAsia"/>
          <w:b/>
          <w:bCs/>
          <w:sz w:val="44"/>
          <w:szCs w:val="44"/>
        </w:rPr>
        <w:t>永清县扶贫开发和脱贫工作领导小组</w:t>
      </w:r>
    </w:p>
    <w:p>
      <w:pPr>
        <w:jc w:val="center"/>
        <w:rPr>
          <w:b/>
          <w:bCs/>
          <w:sz w:val="44"/>
          <w:szCs w:val="44"/>
        </w:rPr>
      </w:pPr>
      <w:r>
        <w:rPr>
          <w:rFonts w:hint="eastAsia"/>
          <w:b/>
          <w:bCs/>
          <w:sz w:val="44"/>
          <w:szCs w:val="44"/>
        </w:rPr>
        <w:t>关于对全县2020年</w:t>
      </w:r>
      <w:r>
        <w:rPr>
          <w:rFonts w:hint="eastAsia"/>
          <w:b/>
          <w:bCs/>
          <w:sz w:val="44"/>
          <w:szCs w:val="44"/>
          <w:lang w:eastAsia="zh-CN"/>
        </w:rPr>
        <w:t>第二批</w:t>
      </w:r>
      <w:r>
        <w:rPr>
          <w:rFonts w:hint="eastAsia"/>
          <w:b/>
          <w:bCs/>
          <w:sz w:val="44"/>
          <w:szCs w:val="44"/>
        </w:rPr>
        <w:t>脱贫攻坚项目库</w:t>
      </w:r>
    </w:p>
    <w:p>
      <w:pPr>
        <w:jc w:val="center"/>
        <w:rPr>
          <w:b/>
          <w:bCs/>
          <w:sz w:val="44"/>
          <w:szCs w:val="44"/>
        </w:rPr>
      </w:pPr>
      <w:r>
        <w:rPr>
          <w:rFonts w:hint="eastAsia"/>
          <w:b/>
          <w:bCs/>
          <w:sz w:val="44"/>
          <w:szCs w:val="44"/>
        </w:rPr>
        <w:t>入库的项目公告</w:t>
      </w:r>
    </w:p>
    <w:p>
      <w:pPr>
        <w:jc w:val="center"/>
        <w:rPr>
          <w:b/>
          <w:bCs/>
          <w:sz w:val="44"/>
          <w:szCs w:val="44"/>
        </w:rPr>
      </w:pPr>
    </w:p>
    <w:p>
      <w:pPr>
        <w:keepNext w:val="0"/>
        <w:keepLines w:val="0"/>
        <w:pageBreakBefore w:val="0"/>
        <w:kinsoku/>
        <w:wordWrap/>
        <w:overflowPunct/>
        <w:topLinePunct w:val="0"/>
        <w:autoSpaceDE/>
        <w:autoSpaceDN/>
        <w:bidi w:val="0"/>
        <w:adjustRightInd/>
        <w:snapToGrid/>
        <w:spacing w:line="620" w:lineRule="exact"/>
        <w:jc w:val="left"/>
        <w:textAlignment w:val="auto"/>
        <w:rPr>
          <w:rFonts w:ascii="楷体_GB2312" w:eastAsia="楷体_GB2312" w:cs="楷体_GB2312"/>
          <w:b/>
          <w:bCs/>
          <w:sz w:val="32"/>
          <w:szCs w:val="32"/>
        </w:rPr>
      </w:pPr>
      <w:r>
        <w:rPr>
          <w:rFonts w:hint="eastAsia" w:ascii="楷体_GB2312" w:eastAsia="楷体_GB2312" w:cs="楷体_GB2312"/>
          <w:b/>
          <w:bCs/>
          <w:sz w:val="32"/>
          <w:szCs w:val="32"/>
        </w:rPr>
        <w:t>各乡镇（经开区、高新区）、县直相关部门：</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20" w:lineRule="exact"/>
        <w:ind w:firstLine="640" w:firstLineChars="200"/>
        <w:jc w:val="both"/>
        <w:textAlignment w:val="auto"/>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根据《河北省人民政府扶贫开发领导小组关于印发&lt;河北省脱贫攻坚项目库建设实施细则&gt;的通知》（冀扶办发﹝2018﹞18号）</w:t>
      </w:r>
      <w:r>
        <w:rPr>
          <w:rFonts w:hint="eastAsia" w:ascii="仿宋_GB2312" w:hAnsi="仿宋_GB2312" w:eastAsia="仿宋_GB2312" w:cs="仿宋_GB2312"/>
          <w:sz w:val="32"/>
          <w:szCs w:val="32"/>
        </w:rPr>
        <w:t>、《河北省扶贫开发和脱贫工作领导小组办公室关于进一步做好我省县级脱贫攻坚项目库建设的通知》（冀扶贫脱贫办﹝2019﹞22号）、《河北省扶贫开发和脱贫工作领导小组关于做好新冠肺炎疫情防控期间财政专项扶贫资金项目管理工作的通知》（冀扶贫脱贫办﹝2019﹞22号）</w:t>
      </w:r>
      <w:r>
        <w:rPr>
          <w:rFonts w:hint="eastAsia" w:ascii="仿宋_GB2312" w:hAnsi="仿宋_GB2312" w:eastAsia="仿宋_GB2312" w:cs="仿宋_GB2312"/>
          <w:sz w:val="32"/>
          <w:szCs w:val="32"/>
          <w:shd w:val="clear" w:color="auto" w:fill="FFFFFF"/>
        </w:rPr>
        <w:t>文件要求，结合我县实际，现将永清县2020年</w:t>
      </w:r>
      <w:r>
        <w:rPr>
          <w:rFonts w:hint="eastAsia" w:ascii="仿宋_GB2312" w:hAnsi="仿宋_GB2312" w:eastAsia="仿宋_GB2312" w:cs="仿宋_GB2312"/>
          <w:sz w:val="32"/>
          <w:szCs w:val="32"/>
          <w:shd w:val="clear" w:color="auto" w:fill="FFFFFF"/>
          <w:lang w:eastAsia="zh-CN"/>
        </w:rPr>
        <w:t>第二批</w:t>
      </w:r>
      <w:r>
        <w:rPr>
          <w:rFonts w:hint="eastAsia" w:ascii="仿宋_GB2312" w:hAnsi="仿宋_GB2312" w:eastAsia="仿宋_GB2312" w:cs="仿宋_GB2312"/>
          <w:sz w:val="32"/>
          <w:szCs w:val="32"/>
          <w:shd w:val="clear" w:color="auto" w:fill="FFFFFF"/>
        </w:rPr>
        <w:t>脱贫攻坚项目库入库项目情况公告如下：</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全县2020年</w:t>
      </w:r>
      <w:r>
        <w:rPr>
          <w:rFonts w:hint="eastAsia" w:ascii="仿宋_GB2312" w:hAnsi="仿宋_GB2312" w:eastAsia="仿宋_GB2312" w:cs="仿宋_GB2312"/>
          <w:sz w:val="32"/>
          <w:szCs w:val="32"/>
          <w:lang w:eastAsia="zh-CN"/>
        </w:rPr>
        <w:t>第二批</w:t>
      </w:r>
      <w:r>
        <w:rPr>
          <w:rFonts w:hint="eastAsia" w:ascii="仿宋_GB2312" w:hAnsi="仿宋_GB2312" w:eastAsia="仿宋_GB2312" w:cs="仿宋_GB2312"/>
          <w:sz w:val="32"/>
          <w:szCs w:val="32"/>
        </w:rPr>
        <w:t>脱贫攻坚项目库建设经建档立卡贫困户自愿申请、村申报、乡镇初审、主管部门审核、县扶贫开发和脱贫工作领导小组审议并公示后确定全县入库项目</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个，分别为海泽田资产收益项目、新苑阳光资产收益项目、胜利养殖资产收益项目、恒都美业资产收益项目。</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所有项目由廊坊海泽田农业开发有限公司、新苑阳光农业有限公司、永清县胜利养殖有限公司（远村现代农业园区）、河北恒都美业农业开发有限公司四家企业组织实施。</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附件：永清县2020年</w:t>
      </w:r>
      <w:r>
        <w:rPr>
          <w:rFonts w:hint="eastAsia" w:ascii="仿宋_GB2312" w:hAnsi="仿宋_GB2312" w:eastAsia="仿宋_GB2312" w:cs="仿宋_GB2312"/>
          <w:sz w:val="32"/>
          <w:szCs w:val="32"/>
          <w:lang w:eastAsia="zh-CN"/>
        </w:rPr>
        <w:t>第二批</w:t>
      </w:r>
      <w:r>
        <w:rPr>
          <w:rFonts w:hint="eastAsia" w:ascii="仿宋_GB2312" w:hAnsi="仿宋_GB2312" w:eastAsia="仿宋_GB2312" w:cs="仿宋_GB2312"/>
          <w:sz w:val="32"/>
          <w:szCs w:val="32"/>
        </w:rPr>
        <w:t>产业扶贫项目库汇总表</w:t>
      </w:r>
    </w:p>
    <w:p>
      <w:pPr>
        <w:keepNext w:val="0"/>
        <w:keepLines w:val="0"/>
        <w:pageBreakBefore w:val="0"/>
        <w:kinsoku/>
        <w:wordWrap/>
        <w:overflowPunct/>
        <w:topLinePunct w:val="0"/>
        <w:autoSpaceDE/>
        <w:autoSpaceDN/>
        <w:bidi w:val="0"/>
        <w:adjustRightInd/>
        <w:snapToGrid/>
        <w:spacing w:line="620" w:lineRule="exact"/>
        <w:jc w:val="right"/>
        <w:textAlignment w:val="auto"/>
        <w:rPr>
          <w:rFonts w:asci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620" w:lineRule="exact"/>
        <w:jc w:val="right"/>
        <w:textAlignment w:val="auto"/>
        <w:rPr>
          <w:rFonts w:ascii="仿宋_GB2312" w:eastAsia="仿宋_GB2312" w:cs="仿宋_GB2312"/>
          <w:sz w:val="32"/>
          <w:szCs w:val="32"/>
        </w:rPr>
      </w:pPr>
      <w:r>
        <w:rPr>
          <w:rFonts w:hint="eastAsia" w:ascii="仿宋_GB2312" w:eastAsia="仿宋_GB2312" w:cs="仿宋_GB2312"/>
          <w:sz w:val="32"/>
          <w:szCs w:val="32"/>
        </w:rPr>
        <w:t>永清县扶贫开发和脱贫工作领导小组</w:t>
      </w:r>
    </w:p>
    <w:p>
      <w:pPr>
        <w:pStyle w:val="4"/>
        <w:keepNext w:val="0"/>
        <w:keepLines w:val="0"/>
        <w:pageBreakBefore w:val="0"/>
        <w:shd w:val="clear" w:color="auto" w:fill="FFFFFF"/>
        <w:kinsoku/>
        <w:wordWrap/>
        <w:overflowPunct/>
        <w:topLinePunct w:val="0"/>
        <w:autoSpaceDE/>
        <w:autoSpaceDN/>
        <w:bidi w:val="0"/>
        <w:adjustRightInd/>
        <w:snapToGrid/>
        <w:spacing w:beforeAutospacing="0" w:afterAutospacing="0" w:line="620" w:lineRule="exact"/>
        <w:jc w:val="center"/>
        <w:textAlignment w:val="auto"/>
        <w:rPr>
          <w:rFonts w:ascii="仿宋_GB2312" w:eastAsia="仿宋_GB2312" w:cs="仿宋_GB2312"/>
          <w:b/>
          <w:bCs/>
          <w:sz w:val="32"/>
          <w:szCs w:val="32"/>
        </w:rPr>
        <w:sectPr>
          <w:pgSz w:w="11906" w:h="16838"/>
          <w:pgMar w:top="1440" w:right="1800" w:bottom="1440" w:left="1800" w:header="851" w:footer="992" w:gutter="0"/>
          <w:cols w:equalWidth="0" w:num="1">
            <w:col w:w="8306"/>
          </w:cols>
          <w:docGrid w:type="lines" w:linePitch="312" w:charSpace="0"/>
        </w:sectPr>
      </w:pPr>
      <w:r>
        <w:rPr>
          <w:rFonts w:hint="eastAsia" w:ascii="仿宋_GB2312" w:eastAsia="仿宋_GB2312" w:cs="仿宋_GB2312"/>
          <w:sz w:val="32"/>
          <w:szCs w:val="32"/>
          <w:shd w:val="clear" w:color="auto" w:fill="FFFFFF"/>
        </w:rPr>
        <w:t xml:space="preserve">                   2020年</w:t>
      </w:r>
      <w:r>
        <w:rPr>
          <w:rFonts w:hint="eastAsia" w:ascii="仿宋_GB2312" w:eastAsia="仿宋_GB2312" w:cs="仿宋_GB2312"/>
          <w:sz w:val="32"/>
          <w:szCs w:val="32"/>
          <w:shd w:val="clear" w:color="auto" w:fill="FFFFFF"/>
          <w:lang w:val="en-US" w:eastAsia="zh-CN"/>
        </w:rPr>
        <w:t>4月24</w:t>
      </w:r>
      <w:bookmarkStart w:id="0" w:name="_GoBack"/>
      <w:bookmarkEnd w:id="0"/>
      <w:r>
        <w:rPr>
          <w:rFonts w:hint="eastAsia" w:ascii="仿宋_GB2312" w:eastAsia="仿宋_GB2312" w:cs="仿宋_GB2312"/>
          <w:sz w:val="32"/>
          <w:szCs w:val="32"/>
          <w:shd w:val="clear" w:color="auto" w:fill="FFFFFF"/>
        </w:rPr>
        <w:t>日</w:t>
      </w:r>
    </w:p>
    <w:p>
      <w:pPr>
        <w:widowControl/>
        <w:jc w:val="left"/>
        <w:rPr>
          <w:rFonts w:hint="default" w:ascii="仿宋_GB2312" w:eastAsia="仿宋_GB2312"/>
          <w:color w:val="000000"/>
          <w:sz w:val="32"/>
          <w:szCs w:val="32"/>
          <w:lang w:val="en-US" w:eastAsia="zh-CN"/>
        </w:rPr>
      </w:pPr>
      <w:r>
        <w:rPr>
          <w:rFonts w:hint="eastAsia" w:ascii="仿宋_GB2312" w:eastAsia="仿宋_GB2312"/>
          <w:color w:val="000000"/>
          <w:sz w:val="32"/>
          <w:szCs w:val="32"/>
          <w:lang w:eastAsia="zh-CN"/>
        </w:rPr>
        <w:t>附件</w:t>
      </w:r>
      <w:r>
        <w:rPr>
          <w:rFonts w:hint="eastAsia" w:ascii="仿宋_GB2312" w:eastAsia="仿宋_GB2312"/>
          <w:color w:val="000000"/>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宋体" w:hAnsi="宋体" w:eastAsia="宋体" w:cs="宋体"/>
          <w:b/>
          <w:bCs/>
          <w:i w:val="0"/>
          <w:caps w:val="0"/>
          <w:color w:val="3D3D3D"/>
          <w:spacing w:val="0"/>
          <w:sz w:val="44"/>
          <w:szCs w:val="44"/>
          <w:shd w:val="clear" w:color="auto" w:fill="FFFFFF"/>
        </w:rPr>
      </w:pPr>
      <w:r>
        <w:rPr>
          <w:rFonts w:hint="eastAsia" w:ascii="宋体" w:hAnsi="宋体" w:eastAsia="宋体" w:cs="宋体"/>
          <w:b/>
          <w:bCs/>
          <w:i w:val="0"/>
          <w:caps w:val="0"/>
          <w:color w:val="3D3D3D"/>
          <w:spacing w:val="0"/>
          <w:sz w:val="44"/>
          <w:szCs w:val="44"/>
          <w:shd w:val="clear" w:color="auto" w:fill="FFFFFF"/>
        </w:rPr>
        <w:t>永清县</w:t>
      </w:r>
      <w:r>
        <w:rPr>
          <w:rFonts w:hint="eastAsia" w:ascii="宋体" w:hAnsi="宋体" w:eastAsia="宋体" w:cs="宋体"/>
          <w:b/>
          <w:bCs/>
          <w:i w:val="0"/>
          <w:caps w:val="0"/>
          <w:color w:val="3D3D3D"/>
          <w:spacing w:val="0"/>
          <w:sz w:val="44"/>
          <w:szCs w:val="44"/>
          <w:shd w:val="clear" w:color="auto" w:fill="FFFFFF"/>
          <w:lang w:val="en-US" w:eastAsia="zh-CN"/>
        </w:rPr>
        <w:t>2020年第二批</w:t>
      </w:r>
      <w:r>
        <w:rPr>
          <w:rFonts w:hint="eastAsia" w:ascii="宋体" w:hAnsi="宋体" w:eastAsia="宋体" w:cs="宋体"/>
          <w:b/>
          <w:bCs/>
          <w:i w:val="0"/>
          <w:caps w:val="0"/>
          <w:color w:val="3D3D3D"/>
          <w:spacing w:val="0"/>
          <w:sz w:val="44"/>
          <w:szCs w:val="44"/>
          <w:shd w:val="clear" w:color="auto" w:fill="FFFFFF"/>
        </w:rPr>
        <w:t>产业扶贫项目库汇总表</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宋体" w:hAnsi="宋体" w:eastAsia="宋体" w:cs="宋体"/>
          <w:b/>
          <w:bCs/>
          <w:i w:val="0"/>
          <w:caps w:val="0"/>
          <w:color w:val="3D3D3D"/>
          <w:spacing w:val="0"/>
          <w:sz w:val="44"/>
          <w:szCs w:val="44"/>
          <w:shd w:val="clear" w:color="auto" w:fill="FFFFFF"/>
        </w:rPr>
      </w:pPr>
    </w:p>
    <w:tbl>
      <w:tblPr>
        <w:tblStyle w:val="5"/>
        <w:tblW w:w="1411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1764"/>
        <w:gridCol w:w="1569"/>
        <w:gridCol w:w="1959"/>
        <w:gridCol w:w="1764"/>
        <w:gridCol w:w="1765"/>
        <w:gridCol w:w="1765"/>
        <w:gridCol w:w="1765"/>
        <w:gridCol w:w="17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exact"/>
          <w:jc w:val="center"/>
        </w:trPr>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15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项目类别</w:t>
            </w: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项目名称</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乡镇</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户数</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标准</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资金（元）</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帮扶主体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2"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eastAsia="仿宋_GB2312" w:cs="宋体"/>
                <w:i w:val="0"/>
                <w:color w:val="000000"/>
                <w:kern w:val="0"/>
                <w:sz w:val="22"/>
                <w:szCs w:val="22"/>
                <w:u w:val="none"/>
                <w:lang w:val="en-US" w:eastAsia="zh-CN" w:bidi="ar"/>
              </w:rPr>
              <w:t>1</w:t>
            </w:r>
          </w:p>
        </w:tc>
        <w:tc>
          <w:tcPr>
            <w:tcW w:w="1569" w:type="dxa"/>
            <w:vMerge w:val="restar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资产收益项目</w:t>
            </w:r>
          </w:p>
        </w:tc>
        <w:tc>
          <w:tcPr>
            <w:tcW w:w="1959" w:type="dxa"/>
            <w:vMerge w:val="restart"/>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海泽田资产收益</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韩村镇</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1（有劳动能力）</w:t>
            </w:r>
          </w:p>
        </w:tc>
        <w:tc>
          <w:tcPr>
            <w:tcW w:w="1765" w:type="dxa"/>
            <w:vMerge w:val="restart"/>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每户1万元标准</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color w:val="000000"/>
                <w:kern w:val="0"/>
                <w:sz w:val="22"/>
                <w:lang w:val="en-US" w:eastAsia="zh-CN" w:bidi="ar"/>
              </w:rPr>
              <w:t>1</w:t>
            </w:r>
          </w:p>
        </w:tc>
        <w:tc>
          <w:tcPr>
            <w:tcW w:w="1765" w:type="dxa"/>
            <w:vMerge w:val="restart"/>
            <w:tcBorders>
              <w:left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2"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仿宋_GB2312" w:cs="宋体"/>
                <w:i w:val="0"/>
                <w:color w:val="000000"/>
                <w:kern w:val="0"/>
                <w:sz w:val="22"/>
                <w:szCs w:val="22"/>
                <w:u w:val="none"/>
                <w:lang w:val="en-US" w:eastAsia="zh-CN" w:bidi="ar"/>
              </w:rPr>
              <w:t>2</w:t>
            </w:r>
          </w:p>
        </w:tc>
        <w:tc>
          <w:tcPr>
            <w:tcW w:w="156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2"/>
                <w:szCs w:val="22"/>
                <w:u w:val="none"/>
              </w:rPr>
            </w:pPr>
          </w:p>
        </w:tc>
        <w:tc>
          <w:tcPr>
            <w:tcW w:w="1959" w:type="dxa"/>
            <w:vMerge w:val="continue"/>
            <w:tcBorders>
              <w:left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曹家务乡</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3（有劳动能力）</w:t>
            </w:r>
          </w:p>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6（无劳动能力）</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lang w:val="en-US" w:eastAsia="zh-CN"/>
              </w:rPr>
              <w:t>9</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2"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仿宋_GB2312" w:cs="宋体"/>
                <w:i w:val="0"/>
                <w:color w:val="000000"/>
                <w:kern w:val="0"/>
                <w:sz w:val="22"/>
                <w:szCs w:val="22"/>
                <w:u w:val="none"/>
                <w:lang w:val="en-US" w:eastAsia="zh-CN" w:bidi="ar"/>
              </w:rPr>
              <w:t>3</w:t>
            </w:r>
          </w:p>
        </w:tc>
        <w:tc>
          <w:tcPr>
            <w:tcW w:w="156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2"/>
                <w:szCs w:val="22"/>
                <w:u w:val="none"/>
              </w:rPr>
            </w:pPr>
          </w:p>
        </w:tc>
        <w:tc>
          <w:tcPr>
            <w:tcW w:w="1959" w:type="dxa"/>
            <w:vMerge w:val="continue"/>
            <w:tcBorders>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大辛阁乡</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4（有劳动能力）</w:t>
            </w:r>
          </w:p>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7（无劳动能力）</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i w:val="0"/>
                <w:color w:val="000000"/>
                <w:sz w:val="22"/>
                <w:szCs w:val="22"/>
                <w:u w:val="none"/>
                <w:lang w:val="en-US"/>
              </w:rPr>
            </w:pPr>
            <w:r>
              <w:rPr>
                <w:rFonts w:hint="eastAsia" w:ascii="宋体" w:hAnsi="宋体" w:cs="宋体"/>
                <w:color w:val="000000"/>
                <w:sz w:val="22"/>
                <w:lang w:val="en-US" w:eastAsia="zh-CN"/>
              </w:rPr>
              <w:t>11</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9"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仿宋_GB2312" w:cs="宋体"/>
                <w:i w:val="0"/>
                <w:color w:val="000000"/>
                <w:kern w:val="0"/>
                <w:sz w:val="22"/>
                <w:szCs w:val="22"/>
                <w:u w:val="none"/>
                <w:lang w:val="en-US" w:eastAsia="zh-CN" w:bidi="ar"/>
              </w:rPr>
              <w:t>4</w:t>
            </w:r>
          </w:p>
        </w:tc>
        <w:tc>
          <w:tcPr>
            <w:tcW w:w="156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2"/>
                <w:szCs w:val="22"/>
                <w:u w:val="none"/>
              </w:rPr>
            </w:pPr>
          </w:p>
        </w:tc>
        <w:tc>
          <w:tcPr>
            <w:tcW w:w="1959" w:type="dxa"/>
            <w:vMerge w:val="restart"/>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新苑阳光资产收益</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三圣口乡</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2（无劳动能力）</w:t>
            </w:r>
          </w:p>
        </w:tc>
        <w:tc>
          <w:tcPr>
            <w:tcW w:w="17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每户1万元标准</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lang w:val="en-US" w:eastAsia="zh-CN"/>
              </w:rPr>
              <w:t>2</w:t>
            </w:r>
          </w:p>
        </w:tc>
        <w:tc>
          <w:tcPr>
            <w:tcW w:w="17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新苑阳光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9"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仿宋_GB2312" w:cs="宋体"/>
                <w:i w:val="0"/>
                <w:color w:val="000000"/>
                <w:kern w:val="0"/>
                <w:sz w:val="22"/>
                <w:szCs w:val="22"/>
                <w:u w:val="none"/>
                <w:lang w:val="en-US" w:eastAsia="zh-CN" w:bidi="ar"/>
              </w:rPr>
              <w:t>5</w:t>
            </w:r>
          </w:p>
        </w:tc>
        <w:tc>
          <w:tcPr>
            <w:tcW w:w="156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2"/>
                <w:szCs w:val="22"/>
                <w:u w:val="none"/>
              </w:rPr>
            </w:pPr>
          </w:p>
        </w:tc>
        <w:tc>
          <w:tcPr>
            <w:tcW w:w="1959" w:type="dxa"/>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别古庄乡</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1（有劳动能力）</w:t>
            </w:r>
          </w:p>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2（无劳动能力）</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lang w:val="en-US" w:eastAsia="zh-CN"/>
              </w:rPr>
              <w:t>3</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仿宋_GB2312" w:cs="宋体"/>
                <w:i w:val="0"/>
                <w:color w:val="000000"/>
                <w:kern w:val="0"/>
                <w:sz w:val="22"/>
                <w:szCs w:val="22"/>
                <w:u w:val="none"/>
                <w:lang w:val="en-US" w:eastAsia="zh-CN" w:bidi="ar"/>
              </w:rPr>
              <w:t>6</w:t>
            </w:r>
          </w:p>
        </w:tc>
        <w:tc>
          <w:tcPr>
            <w:tcW w:w="156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2"/>
                <w:szCs w:val="22"/>
                <w:u w:val="none"/>
              </w:rPr>
            </w:pPr>
          </w:p>
        </w:tc>
        <w:tc>
          <w:tcPr>
            <w:tcW w:w="1959" w:type="dxa"/>
            <w:vMerge w:val="continue"/>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后奕镇</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2（有劳动能力）</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lang w:val="en-US" w:eastAsia="zh-CN"/>
              </w:rPr>
              <w:t>2</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18"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eastAsia="仿宋_GB2312" w:cs="宋体"/>
                <w:i w:val="0"/>
                <w:color w:val="000000"/>
                <w:kern w:val="0"/>
                <w:sz w:val="22"/>
                <w:szCs w:val="22"/>
                <w:u w:val="none"/>
                <w:lang w:val="en-US" w:eastAsia="zh-CN" w:bidi="ar"/>
              </w:rPr>
              <w:t>7</w:t>
            </w:r>
          </w:p>
        </w:tc>
        <w:tc>
          <w:tcPr>
            <w:tcW w:w="156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2"/>
                <w:szCs w:val="22"/>
                <w:u w:val="none"/>
              </w:rPr>
            </w:pPr>
          </w:p>
        </w:tc>
        <w:tc>
          <w:tcPr>
            <w:tcW w:w="1959" w:type="dxa"/>
            <w:vMerge w:val="continue"/>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高新区</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1（有劳动能力）</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lang w:val="en-US" w:eastAsia="zh-CN"/>
              </w:rPr>
              <w:t>1</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96"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仿宋_GB2312" w:cs="宋体"/>
                <w:i w:val="0"/>
                <w:color w:val="000000"/>
                <w:kern w:val="0"/>
                <w:sz w:val="22"/>
                <w:szCs w:val="22"/>
                <w:u w:val="none"/>
                <w:lang w:val="en-US" w:eastAsia="zh-CN" w:bidi="ar"/>
              </w:rPr>
              <w:t>8</w:t>
            </w:r>
          </w:p>
        </w:tc>
        <w:tc>
          <w:tcPr>
            <w:tcW w:w="156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2"/>
                <w:szCs w:val="22"/>
                <w:u w:val="none"/>
              </w:rPr>
            </w:pPr>
          </w:p>
        </w:tc>
        <w:tc>
          <w:tcPr>
            <w:tcW w:w="1959" w:type="dxa"/>
            <w:vMerge w:val="continue"/>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永清镇</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2（有劳动能力）</w:t>
            </w:r>
          </w:p>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3（无劳动能力）</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lang w:val="en-US" w:eastAsia="zh-CN"/>
              </w:rPr>
              <w:t>5</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仿宋_GB2312" w:cs="宋体"/>
                <w:i w:val="0"/>
                <w:color w:val="000000"/>
                <w:kern w:val="0"/>
                <w:sz w:val="22"/>
                <w:szCs w:val="22"/>
                <w:u w:val="none"/>
                <w:lang w:val="en-US" w:eastAsia="zh-CN" w:bidi="ar"/>
              </w:rPr>
              <w:t>9</w:t>
            </w:r>
          </w:p>
        </w:tc>
        <w:tc>
          <w:tcPr>
            <w:tcW w:w="156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2"/>
                <w:szCs w:val="22"/>
                <w:u w:val="none"/>
              </w:rPr>
            </w:pPr>
          </w:p>
        </w:tc>
        <w:tc>
          <w:tcPr>
            <w:tcW w:w="1959" w:type="dxa"/>
            <w:vMerge w:val="restart"/>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胜利养殖资产收益</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里澜城镇</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3（有劳动能力）</w:t>
            </w:r>
          </w:p>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2（无劳动能力）</w:t>
            </w:r>
          </w:p>
        </w:tc>
        <w:tc>
          <w:tcPr>
            <w:tcW w:w="17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每户1万元标准</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lang w:val="en-US" w:eastAsia="zh-CN"/>
              </w:rPr>
              <w:t>5</w:t>
            </w:r>
          </w:p>
        </w:tc>
        <w:tc>
          <w:tcPr>
            <w:tcW w:w="17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胜利养殖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54"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仿宋_GB2312" w:cs="宋体"/>
                <w:i w:val="0"/>
                <w:color w:val="000000"/>
                <w:sz w:val="22"/>
                <w:szCs w:val="22"/>
                <w:u w:val="none"/>
                <w:lang w:val="en-US" w:eastAsia="zh-CN"/>
              </w:rPr>
              <w:t>10</w:t>
            </w:r>
          </w:p>
        </w:tc>
        <w:tc>
          <w:tcPr>
            <w:tcW w:w="156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2"/>
                <w:szCs w:val="22"/>
                <w:u w:val="none"/>
              </w:rPr>
            </w:pPr>
          </w:p>
        </w:tc>
        <w:tc>
          <w:tcPr>
            <w:tcW w:w="1959" w:type="dxa"/>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养马庄乡</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2（有劳动能力）</w:t>
            </w:r>
          </w:p>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1（无劳动能力）</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eastAsia="宋体" w:cs="宋体"/>
                <w:i w:val="0"/>
                <w:color w:val="000000"/>
                <w:sz w:val="22"/>
                <w:szCs w:val="22"/>
                <w:u w:val="none"/>
              </w:rPr>
            </w:pPr>
            <w:r>
              <w:rPr>
                <w:rFonts w:hint="eastAsia" w:ascii="宋体" w:hAnsi="宋体" w:cs="宋体"/>
                <w:color w:val="000000"/>
                <w:sz w:val="22"/>
                <w:lang w:val="en-US" w:eastAsia="zh-CN"/>
              </w:rPr>
              <w:t>3</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4"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仿宋_GB2312" w:cs="宋体"/>
                <w:i w:val="0"/>
                <w:color w:val="000000"/>
                <w:kern w:val="0"/>
                <w:sz w:val="22"/>
                <w:szCs w:val="22"/>
                <w:u w:val="none"/>
                <w:lang w:val="en-US" w:eastAsia="zh-CN" w:bidi="ar"/>
              </w:rPr>
              <w:t>11</w:t>
            </w:r>
          </w:p>
        </w:tc>
        <w:tc>
          <w:tcPr>
            <w:tcW w:w="156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color w:val="000000"/>
                <w:sz w:val="22"/>
                <w:szCs w:val="22"/>
                <w:u w:val="none"/>
              </w:rPr>
            </w:pPr>
          </w:p>
        </w:tc>
        <w:tc>
          <w:tcPr>
            <w:tcW w:w="1959" w:type="dxa"/>
            <w:vMerge w:val="continue"/>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刘街乡</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2（有劳动能力）</w:t>
            </w:r>
          </w:p>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7（无劳动能力）</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i w:val="0"/>
                <w:color w:val="000000"/>
                <w:sz w:val="22"/>
                <w:szCs w:val="22"/>
                <w:u w:val="none"/>
                <w:lang w:val="en-US"/>
              </w:rPr>
            </w:pPr>
            <w:r>
              <w:rPr>
                <w:rFonts w:hint="eastAsia" w:ascii="宋体" w:hAnsi="宋体" w:cs="宋体"/>
                <w:color w:val="000000"/>
                <w:sz w:val="22"/>
                <w:lang w:val="en-US" w:eastAsia="zh-CN"/>
              </w:rPr>
              <w:t>9</w:t>
            </w:r>
          </w:p>
        </w:tc>
        <w:tc>
          <w:tcPr>
            <w:tcW w:w="176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35" w:hRule="exact"/>
          <w:jc w:val="center"/>
        </w:trPr>
        <w:tc>
          <w:tcPr>
            <w:tcW w:w="176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eastAsia="仿宋_GB2312" w:cs="宋体"/>
                <w:i w:val="0"/>
                <w:color w:val="000000"/>
                <w:kern w:val="0"/>
                <w:sz w:val="22"/>
                <w:szCs w:val="22"/>
                <w:u w:val="none"/>
                <w:lang w:val="en-US" w:eastAsia="zh-CN" w:bidi="ar"/>
              </w:rPr>
              <w:t>12</w:t>
            </w:r>
          </w:p>
        </w:tc>
        <w:tc>
          <w:tcPr>
            <w:tcW w:w="1569"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color w:val="000000"/>
                <w:sz w:val="22"/>
                <w:szCs w:val="22"/>
                <w:u w:val="none"/>
              </w:rPr>
            </w:pPr>
          </w:p>
        </w:tc>
        <w:tc>
          <w:tcPr>
            <w:tcW w:w="1959"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恒都美业资产收益</w:t>
            </w:r>
          </w:p>
        </w:tc>
        <w:tc>
          <w:tcPr>
            <w:tcW w:w="17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龙虎庄乡</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8（有劳动能力）</w:t>
            </w:r>
          </w:p>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1（无劳动能力）</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每户1万元标准</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9</w:t>
            </w:r>
          </w:p>
        </w:tc>
        <w:tc>
          <w:tcPr>
            <w:tcW w:w="1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恒都美业</w:t>
            </w:r>
          </w:p>
        </w:tc>
      </w:tr>
    </w:tbl>
    <w:p/>
    <w:sectPr>
      <w:headerReference r:id="rId3" w:type="default"/>
      <w:footerReference r:id="rId4" w:type="default"/>
      <w:pgSz w:w="16838" w:h="11906" w:orient="landscape"/>
      <w:pgMar w:top="1587" w:right="1440" w:bottom="1474" w:left="1440" w:header="851" w:footer="992" w:gutter="0"/>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2</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5C2D545E"/>
    <w:rsid w:val="0027526F"/>
    <w:rsid w:val="008752F3"/>
    <w:rsid w:val="00C92D7C"/>
    <w:rsid w:val="00DA2D7C"/>
    <w:rsid w:val="00F92F81"/>
    <w:rsid w:val="00FC01B5"/>
    <w:rsid w:val="14002643"/>
    <w:rsid w:val="175A49CC"/>
    <w:rsid w:val="177F4A4A"/>
    <w:rsid w:val="1AEC7296"/>
    <w:rsid w:val="2A8943FC"/>
    <w:rsid w:val="40723BE4"/>
    <w:rsid w:val="45E5005E"/>
    <w:rsid w:val="52B9324F"/>
    <w:rsid w:val="53E24EBA"/>
    <w:rsid w:val="5C2D545E"/>
    <w:rsid w:val="5D092C88"/>
    <w:rsid w:val="5E941E3F"/>
    <w:rsid w:val="61A624F1"/>
    <w:rsid w:val="6A223C49"/>
    <w:rsid w:val="6B165594"/>
    <w:rsid w:val="71BC1B84"/>
    <w:rsid w:val="735B69A4"/>
    <w:rsid w:val="754B680C"/>
    <w:rsid w:val="7DB016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仿宋_GB2312"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before="100" w:beforeAutospacing="1" w:after="100" w:afterAutospacing="1"/>
      <w:jc w:val="left"/>
    </w:pPr>
    <w:rPr>
      <w:rFonts w:asci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271</Words>
  <Characters>1549</Characters>
  <Lines>12</Lines>
  <Paragraphs>3</Paragraphs>
  <TotalTime>0</TotalTime>
  <ScaleCrop>false</ScaleCrop>
  <LinksUpToDate>false</LinksUpToDate>
  <CharactersWithSpaces>1817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2020-02-28T03:35:00Z</dcterms:created>
  <dc:creator>ZH4NGYB</dc:creator>
  <cp:lastModifiedBy>ZH4NGYB</cp:lastModifiedBy>
  <dcterms:modified xsi:type="dcterms:W3CDTF">2020-04-23T03:26:20Z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