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rPr>
          <w:rFonts w:hint="eastAsia"/>
          <w:color w:val="000000"/>
        </w:rPr>
      </w:pPr>
      <w:r>
        <w:pict>
          <v:shape id="艺术字 4" o:spid="_x0000_s1026" o:spt="136" type="#_x0000_t136" style="position:absolute;left:0pt;margin-left:0.25pt;margin-top:17.95pt;height:53.25pt;width:412.5pt;mso-wrap-distance-bottom:0pt;mso-wrap-distance-left:9pt;mso-wrap-distance-right:9pt;mso-wrap-distance-top:0pt;z-index:1024;mso-width-relative:page;mso-height-relative:page;" fillcolor="#FF0000" filled="t" stroked="t" coordsize="21600,21600" adj="10800">
            <v:path/>
            <v:fill on="t" focussize="0,0"/>
            <v:stroke color="#FF0000"/>
            <v:imagedata o:title=""/>
            <o:lock v:ext="edit"/>
            <v:textpath on="t" fitshape="t" fitpath="t" trim="t" xscale="f" string="永清县产业扶贫就业脱贫&#10;" style="font-family:黑体;font-size:32pt;v-text-align:center;"/>
            <w10:wrap type="square"/>
          </v:shape>
        </w:pict>
      </w:r>
      <w:r>
        <w:rPr>
          <w:color w:val="000000"/>
        </w:rPr>
        <w:pict>
          <v:shape id="_x0000_i1025" o:spt="136" type="#_x0000_t136" style="height:53.25pt;width:412.5pt;" fillcolor="#FF0000" filled="t" stroked="t" coordsize="21600,21600" adj="10800">
            <v:path/>
            <v:fill on="t" focussize="0,0"/>
            <v:stroke color="#FF0000"/>
            <v:imagedata o:title=""/>
            <o:lock v:ext="edit"/>
            <v:textpath on="t" fitshape="t" fitpath="t" trim="t" xscale="f" string="工 作 领 导 小 组 文 件" style="font-family:黑体;font-size:32pt;v-text-align:center;"/>
            <w10:wrap type="none"/>
            <w10:anchorlock/>
          </v:shape>
        </w:pict>
      </w:r>
    </w:p>
    <w:p>
      <w:pPr>
        <w:spacing w:line="600" w:lineRule="exact"/>
        <w:jc w:val="center"/>
        <w:rPr>
          <w:rFonts w:ascii="仿宋_GB2312" w:eastAsia="仿宋_GB2312"/>
          <w:sz w:val="32"/>
          <w:szCs w:val="32"/>
        </w:rPr>
      </w:pPr>
      <w:r>
        <w:rPr>
          <w:rFonts w:hint="eastAsia" w:ascii="仿宋_GB2312" w:eastAsia="仿宋_GB2312"/>
          <w:sz w:val="32"/>
          <w:szCs w:val="32"/>
        </w:rPr>
        <w:t>永产扶〔20</w:t>
      </w:r>
      <w:r>
        <w:rPr>
          <w:rFonts w:hint="eastAsia" w:ascii="仿宋_GB2312" w:eastAsia="仿宋_GB2312"/>
          <w:sz w:val="32"/>
          <w:szCs w:val="32"/>
          <w:lang w:val="en-US" w:eastAsia="zh-CN"/>
        </w:rPr>
        <w:t>20</w:t>
      </w:r>
      <w:r>
        <w:rPr>
          <w:rFonts w:hint="eastAsia" w:ascii="仿宋_GB2312" w:eastAsia="仿宋_GB2312"/>
          <w:sz w:val="32"/>
          <w:szCs w:val="32"/>
        </w:rPr>
        <w:t>〕</w:t>
      </w:r>
      <w:r>
        <w:rPr>
          <w:rFonts w:hint="eastAsia" w:ascii="仿宋_GB2312" w:eastAsia="仿宋_GB2312"/>
          <w:sz w:val="32"/>
          <w:szCs w:val="32"/>
          <w:lang w:val="en-US" w:eastAsia="zh-CN"/>
        </w:rPr>
        <w:t>4</w:t>
      </w:r>
      <w:bookmarkStart w:id="0" w:name="_GoBack"/>
      <w:bookmarkEnd w:id="0"/>
      <w:r>
        <w:rPr>
          <w:rFonts w:hint="eastAsia" w:ascii="仿宋_GB2312" w:eastAsia="仿宋_GB2312"/>
          <w:sz w:val="32"/>
          <w:szCs w:val="32"/>
        </w:rPr>
        <w:t>号</w:t>
      </w:r>
    </w:p>
    <w:p>
      <w:pPr>
        <w:spacing w:line="240" w:lineRule="atLeast"/>
        <w:jc w:val="center"/>
      </w:pPr>
      <w:r>
        <mc:AlternateContent>
          <mc:Choice Requires="wps">
            <w:drawing>
              <wp:anchor distT="0" distB="0" distL="113665" distR="113665" simplePos="0" relativeHeight="1024" behindDoc="0" locked="0" layoutInCell="1" allowOverlap="1">
                <wp:simplePos x="0" y="0"/>
                <wp:positionH relativeFrom="column">
                  <wp:posOffset>2513965</wp:posOffset>
                </wp:positionH>
                <wp:positionV relativeFrom="paragraph">
                  <wp:posOffset>0</wp:posOffset>
                </wp:positionV>
                <wp:extent cx="457200" cy="396240"/>
                <wp:effectExtent l="0" t="0" r="0" b="0"/>
                <wp:wrapNone/>
                <wp:docPr id="6" name="五角星 2"/>
                <wp:cNvGraphicFramePr/>
                <a:graphic xmlns:a="http://schemas.openxmlformats.org/drawingml/2006/main">
                  <a:graphicData uri="http://schemas.microsoft.com/office/word/2010/wordprocessingShape">
                    <wps:wsp>
                      <wps:cNvSpPr/>
                      <wps:spPr>
                        <a:xfrm>
                          <a:off x="0" y="0"/>
                          <a:ext cx="457200" cy="396240"/>
                        </a:xfrm>
                        <a:custGeom>
                          <a:avLst/>
                          <a:gdLst>
                            <a:gd name="T1" fmla="*/ 0 w 21600"/>
                            <a:gd name="T2" fmla="*/ 0 h 21600"/>
                            <a:gd name="T3" fmla="*/ 21600 w 21600"/>
                            <a:gd name="T4" fmla="*/ 21600 h 21600"/>
                          </a:gdLst>
                          <a:ahLst/>
                          <a:cxnLst/>
                          <a:rect l="T1" t="T2" r="T3" b="T4"/>
                          <a:pathLst>
                            <a:path w="21600" h="21600">
                              <a:moveTo>
                                <a:pt x="0" y="8250"/>
                              </a:moveTo>
                              <a:lnTo>
                                <a:pt x="8250" y="8250"/>
                              </a:lnTo>
                              <a:lnTo>
                                <a:pt x="10800" y="0"/>
                              </a:lnTo>
                              <a:lnTo>
                                <a:pt x="13349" y="8250"/>
                              </a:lnTo>
                              <a:lnTo>
                                <a:pt x="21600" y="8250"/>
                              </a:lnTo>
                              <a:lnTo>
                                <a:pt x="14925" y="13349"/>
                              </a:lnTo>
                              <a:lnTo>
                                <a:pt x="17474" y="21600"/>
                              </a:lnTo>
                              <a:lnTo>
                                <a:pt x="10800" y="16500"/>
                              </a:lnTo>
                              <a:lnTo>
                                <a:pt x="4125" y="21600"/>
                              </a:lnTo>
                              <a:lnTo>
                                <a:pt x="6674" y="13349"/>
                              </a:lnTo>
                              <a:close/>
                            </a:path>
                          </a:pathLst>
                        </a:custGeom>
                        <a:solidFill>
                          <a:srgbClr val="FF0000"/>
                        </a:solidFill>
                        <a:ln w="9525" cap="flat" cmpd="sng">
                          <a:solidFill>
                            <a:srgbClr val="FF0000"/>
                          </a:solidFill>
                          <a:prstDash val="solid"/>
                          <a:miter/>
                        </a:ln>
                      </wps:spPr>
                      <wps:bodyPr vert="horz" wrap="square" lIns="91440" tIns="45720" rIns="91440" bIns="45720" anchor="t" anchorCtr="0" upright="1">
                        <a:noAutofit/>
                      </wps:bodyPr>
                    </wps:wsp>
                  </a:graphicData>
                </a:graphic>
              </wp:anchor>
            </w:drawing>
          </mc:Choice>
          <mc:Fallback>
            <w:pict>
              <v:shape id="五角星 2" o:spid="_x0000_s1026" o:spt="100" style="position:absolute;left:0pt;margin-left:197.95pt;margin-top:0pt;height:31.2pt;width:36pt;z-index:1024;mso-width-relative:page;mso-height-relative:page;" fillcolor="#FF0000" filled="t" stroked="t" coordsize="21600,21600" o:gfxdata="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" path="m0,8250l8250,8250,10800,0,13349,8250,21600,8250,14925,13349,17474,21600,10800,16500,4125,21600,6674,13349xe">
                <v:fill on="t" focussize="0,0"/>
                <v:stroke color="#FF0000" joinstyle="miter"/>
                <v:imagedata o:title=""/>
                <o:lock v:ext="edit" aspectratio="f"/>
              </v:shape>
            </w:pict>
          </mc:Fallback>
        </mc:AlternateContent>
      </w:r>
    </w:p>
    <w:p>
      <w:r>
        <mc:AlternateContent>
          <mc:Choice Requires="wps">
            <w:drawing>
              <wp:anchor distT="0" distB="0" distL="113665" distR="113665" simplePos="0" relativeHeight="1024" behindDoc="0" locked="0" layoutInCell="1" allowOverlap="1">
                <wp:simplePos x="0" y="0"/>
                <wp:positionH relativeFrom="column">
                  <wp:posOffset>3085465</wp:posOffset>
                </wp:positionH>
                <wp:positionV relativeFrom="paragraph">
                  <wp:posOffset>0</wp:posOffset>
                </wp:positionV>
                <wp:extent cx="2520315" cy="635"/>
                <wp:effectExtent l="0" t="0" r="0" b="0"/>
                <wp:wrapNone/>
                <wp:docPr id="8" name="直接连接符 3"/>
                <wp:cNvGraphicFramePr/>
                <a:graphic xmlns:a="http://schemas.openxmlformats.org/drawingml/2006/main">
                  <a:graphicData uri="http://schemas.microsoft.com/office/word/2010/wordprocessingShape">
                    <wps:wsp>
                      <wps:cNvCnPr/>
                      <wps:spPr>
                        <a:xfrm>
                          <a:off x="0" y="0"/>
                          <a:ext cx="2520315" cy="952"/>
                        </a:xfrm>
                        <a:prstGeom prst="line">
                          <a:avLst/>
                        </a:prstGeom>
                        <a:noFill/>
                        <a:ln w="38100" cap="flat" cmpd="sng">
                          <a:solidFill>
                            <a:srgbClr val="FF0000"/>
                          </a:solidFill>
                          <a:prstDash val="solid"/>
                          <a:round/>
                        </a:ln>
                      </wps:spPr>
                      <wps:bodyPr vert="horz" wrap="square" lIns="91440" tIns="45720" rIns="91440" bIns="45720" anchor="t" anchorCtr="0" upright="1">
                        <a:noAutofit/>
                      </wps:bodyPr>
                    </wps:wsp>
                  </a:graphicData>
                </a:graphic>
              </wp:anchor>
            </w:drawing>
          </mc:Choice>
          <mc:Fallback>
            <w:pict>
              <v:line id="直接连接符 3" o:spid="_x0000_s1026" o:spt="20" style="position:absolute;left:0pt;margin-left:242.95pt;margin-top:0pt;height:0.05pt;width:198.45pt;z-index:1024;mso-width-relative:page;mso-height-relative:page;" filled="f" stroked="t" coordsize="21600,21600" o:gfxdata="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ryD561wAAAAUBAAAPAAAAAAAAAAEAIAAAACIA&#10;AABkcnMvZG93bnJldi54bWxQSwECFAAUAAAACACHTuJAKZrseQoCAADbAwAADgAAAAAAAAABACAA&#10;AAAmAQAAZHJzL2Uyb0RvYy54bWxQSwUGAAAAAAYABgBZAQAAogUAAAAA&#10;">
                <v:fill on="f" focussize="0,0"/>
                <v:stroke weight="3pt" color="#FF0000" joinstyle="round"/>
                <v:imagedata o:title=""/>
                <o:lock v:ext="edit" aspectratio="f"/>
              </v:line>
            </w:pict>
          </mc:Fallback>
        </mc:AlternateContent>
      </w:r>
      <w:r>
        <mc:AlternateContent>
          <mc:Choice Requires="wps">
            <w:drawing>
              <wp:anchor distT="0" distB="0" distL="113665" distR="113665" simplePos="0" relativeHeight="1024" behindDoc="0" locked="0" layoutInCell="1" allowOverlap="1">
                <wp:simplePos x="0" y="0"/>
                <wp:positionH relativeFrom="column">
                  <wp:posOffset>-113665</wp:posOffset>
                </wp:positionH>
                <wp:positionV relativeFrom="paragraph">
                  <wp:posOffset>0</wp:posOffset>
                </wp:positionV>
                <wp:extent cx="2520315" cy="635"/>
                <wp:effectExtent l="0" t="0" r="0" b="0"/>
                <wp:wrapNone/>
                <wp:docPr id="10" name="直接连接符 4"/>
                <wp:cNvGraphicFramePr/>
                <a:graphic xmlns:a="http://schemas.openxmlformats.org/drawingml/2006/main">
                  <a:graphicData uri="http://schemas.microsoft.com/office/word/2010/wordprocessingShape">
                    <wps:wsp>
                      <wps:cNvCnPr/>
                      <wps:spPr>
                        <a:xfrm>
                          <a:off x="0" y="0"/>
                          <a:ext cx="2520315" cy="952"/>
                        </a:xfrm>
                        <a:prstGeom prst="line">
                          <a:avLst/>
                        </a:prstGeom>
                        <a:noFill/>
                        <a:ln w="38100" cap="flat" cmpd="sng">
                          <a:solidFill>
                            <a:srgbClr val="FF0000"/>
                          </a:solidFill>
                          <a:prstDash val="solid"/>
                          <a:round/>
                        </a:ln>
                      </wps:spPr>
                      <wps:bodyPr vert="horz" wrap="square" lIns="91440" tIns="45720" rIns="91440" bIns="45720" anchor="t" anchorCtr="0" upright="1">
                        <a:noAutofit/>
                      </wps:bodyPr>
                    </wps:wsp>
                  </a:graphicData>
                </a:graphic>
              </wp:anchor>
            </w:drawing>
          </mc:Choice>
          <mc:Fallback>
            <w:pict>
              <v:line id="直接连接符 4" o:spid="_x0000_s1026" o:spt="20" style="position:absolute;left:0pt;margin-left:-8.95pt;margin-top:0pt;height:0.05pt;width:198.45pt;z-index:1024;mso-width-relative:page;mso-height-relative:page;" filled="f" stroked="t" coordsize="21600,21600" o:gfxdata="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l0KX9dgAAAAFAQAADwAAAAAAAAABACAAAAAi&#10;AAAAZHJzL2Rvd25yZXYueG1sUEsBAhQAFAAAAAgAh07iQBHCWMoKAgAA3AMAAA4AAAAAAAAAAQAg&#10;AAAAJwEAAGRycy9lMm9Eb2MueG1sUEsFBgAAAAAGAAYAWQEAAKMFAAAAAA==&#10;">
                <v:fill on="f" focussize="0,0"/>
                <v:stroke weight="3pt" color="#FF0000" joinstyle="round"/>
                <v:imagedata o:title=""/>
                <o:lock v:ext="edit" aspectratio="f"/>
              </v:line>
            </w:pict>
          </mc:Fallback>
        </mc:AlternateContent>
      </w:r>
    </w:p>
    <w:p>
      <w:pPr>
        <w:spacing w:line="560" w:lineRule="exact"/>
        <w:jc w:val="center"/>
        <w:rPr>
          <w:b/>
          <w:bCs/>
          <w:sz w:val="44"/>
          <w:szCs w:val="44"/>
        </w:rPr>
      </w:pPr>
      <w:r>
        <w:rPr>
          <w:rFonts w:hint="eastAsia"/>
          <w:b/>
          <w:bCs/>
          <w:sz w:val="44"/>
          <w:szCs w:val="44"/>
        </w:rPr>
        <w:t>永清县产业扶贫就业脱贫工作领导小组</w:t>
      </w:r>
    </w:p>
    <w:p>
      <w:pPr>
        <w:spacing w:line="560" w:lineRule="exact"/>
        <w:jc w:val="center"/>
        <w:rPr>
          <w:b/>
          <w:bCs/>
          <w:sz w:val="44"/>
          <w:szCs w:val="44"/>
        </w:rPr>
      </w:pPr>
      <w:r>
        <w:rPr>
          <w:rFonts w:hint="eastAsia"/>
          <w:b/>
          <w:bCs/>
          <w:sz w:val="44"/>
          <w:szCs w:val="44"/>
        </w:rPr>
        <w:t>关于印发《永清县</w:t>
      </w:r>
      <w:r>
        <w:rPr>
          <w:rFonts w:hint="eastAsia"/>
          <w:b/>
          <w:bCs/>
          <w:sz w:val="44"/>
          <w:szCs w:val="44"/>
          <w:lang w:val="en-US" w:eastAsia="zh-CN"/>
        </w:rPr>
        <w:t>2020</w:t>
      </w:r>
      <w:r>
        <w:rPr>
          <w:rFonts w:hint="eastAsia"/>
          <w:b/>
          <w:bCs/>
          <w:sz w:val="44"/>
          <w:szCs w:val="44"/>
        </w:rPr>
        <w:t>年</w:t>
      </w:r>
      <w:r>
        <w:rPr>
          <w:rFonts w:hint="eastAsia"/>
          <w:b/>
          <w:bCs/>
          <w:sz w:val="44"/>
          <w:szCs w:val="44"/>
          <w:lang w:eastAsia="zh-CN"/>
        </w:rPr>
        <w:t>第二批</w:t>
      </w:r>
      <w:r>
        <w:rPr>
          <w:rFonts w:hint="eastAsia"/>
          <w:b/>
          <w:bCs/>
          <w:sz w:val="44"/>
          <w:szCs w:val="44"/>
        </w:rPr>
        <w:t>产业扶贫资金使用方案》的通知</w:t>
      </w:r>
    </w:p>
    <w:p>
      <w:pPr>
        <w:spacing w:line="560" w:lineRule="exact"/>
      </w:pPr>
    </w:p>
    <w:p>
      <w:pPr>
        <w:spacing w:line="600" w:lineRule="exact"/>
        <w:rPr>
          <w:rFonts w:ascii="楷体_GB2312" w:eastAsia="楷体_GB2312" w:cs="仿宋"/>
          <w:b/>
          <w:sz w:val="32"/>
          <w:szCs w:val="32"/>
        </w:rPr>
      </w:pPr>
      <w:r>
        <w:rPr>
          <w:rFonts w:hint="eastAsia" w:ascii="楷体_GB2312" w:eastAsia="楷体_GB2312" w:cs="仿宋"/>
          <w:b/>
          <w:sz w:val="32"/>
          <w:szCs w:val="32"/>
        </w:rPr>
        <w:t>各乡、镇（区），各相关单位：</w:t>
      </w:r>
    </w:p>
    <w:p>
      <w:pPr>
        <w:spacing w:line="560" w:lineRule="exact"/>
        <w:rPr>
          <w:rFonts w:ascii="仿宋_GB2312" w:eastAsia="仿宋_GB2312" w:cs="仿宋"/>
          <w:sz w:val="32"/>
          <w:szCs w:val="32"/>
        </w:rPr>
      </w:pPr>
      <w:r>
        <w:rPr>
          <w:rFonts w:hint="eastAsia" w:ascii="仿宋_GB2312" w:eastAsia="仿宋_GB2312" w:cs="仿宋"/>
          <w:sz w:val="32"/>
          <w:szCs w:val="32"/>
        </w:rPr>
        <w:t xml:space="preserve">    现将《永清县</w:t>
      </w:r>
      <w:r>
        <w:rPr>
          <w:rFonts w:hint="eastAsia" w:ascii="仿宋_GB2312" w:eastAsia="仿宋_GB2312" w:cs="仿宋"/>
          <w:sz w:val="32"/>
          <w:szCs w:val="32"/>
          <w:lang w:val="en-US" w:eastAsia="zh-CN"/>
        </w:rPr>
        <w:t>2020</w:t>
      </w:r>
      <w:r>
        <w:rPr>
          <w:rFonts w:hint="eastAsia" w:ascii="仿宋_GB2312" w:eastAsia="仿宋_GB2312" w:cs="仿宋"/>
          <w:sz w:val="32"/>
          <w:szCs w:val="32"/>
        </w:rPr>
        <w:t>年</w:t>
      </w:r>
      <w:r>
        <w:rPr>
          <w:rFonts w:hint="eastAsia" w:ascii="仿宋_GB2312" w:eastAsia="仿宋_GB2312" w:cs="仿宋"/>
          <w:sz w:val="32"/>
          <w:szCs w:val="32"/>
          <w:lang w:eastAsia="zh-CN"/>
        </w:rPr>
        <w:t>第二批</w:t>
      </w:r>
      <w:r>
        <w:rPr>
          <w:rFonts w:hint="eastAsia" w:ascii="仿宋_GB2312" w:eastAsia="仿宋_GB2312" w:cs="仿宋"/>
          <w:sz w:val="32"/>
          <w:szCs w:val="32"/>
        </w:rPr>
        <w:t>产业扶贫资金使用方案》印发给你们，请按文件要求，认真安排部署，结合实际抓好贯彻落实。</w:t>
      </w:r>
    </w:p>
    <w:p>
      <w:pPr>
        <w:spacing w:line="560" w:lineRule="exact"/>
        <w:ind w:firstLine="645"/>
        <w:jc w:val="left"/>
        <w:rPr>
          <w:rFonts w:ascii="仿宋_GB2312" w:eastAsia="仿宋_GB2312" w:cs="仿宋"/>
          <w:sz w:val="32"/>
          <w:szCs w:val="32"/>
        </w:rPr>
      </w:pPr>
    </w:p>
    <w:p>
      <w:pPr>
        <w:spacing w:line="560" w:lineRule="exact"/>
        <w:ind w:firstLine="645"/>
        <w:jc w:val="left"/>
        <w:rPr>
          <w:rFonts w:ascii="仿宋_GB2312" w:eastAsia="仿宋_GB2312" w:cs="仿宋"/>
          <w:sz w:val="32"/>
          <w:szCs w:val="32"/>
        </w:rPr>
      </w:pPr>
    </w:p>
    <w:p>
      <w:pPr>
        <w:spacing w:line="560" w:lineRule="exact"/>
        <w:ind w:firstLine="645"/>
        <w:jc w:val="left"/>
        <w:rPr>
          <w:rFonts w:ascii="仿宋_GB2312" w:eastAsia="仿宋_GB2312" w:cs="仿宋"/>
          <w:sz w:val="32"/>
          <w:szCs w:val="32"/>
        </w:rPr>
      </w:pPr>
    </w:p>
    <w:p>
      <w:pPr>
        <w:spacing w:line="560" w:lineRule="exact"/>
        <w:ind w:left="420" w:firstLine="225"/>
        <w:jc w:val="right"/>
        <w:rPr>
          <w:rFonts w:ascii="仿宋_GB2312" w:eastAsia="仿宋_GB2312" w:cs="仿宋"/>
          <w:sz w:val="32"/>
          <w:szCs w:val="32"/>
        </w:rPr>
      </w:pPr>
    </w:p>
    <w:p>
      <w:pPr>
        <w:spacing w:line="560" w:lineRule="exact"/>
        <w:ind w:left="420" w:firstLine="225"/>
        <w:jc w:val="right"/>
        <w:rPr>
          <w:rFonts w:ascii="仿宋_GB2312" w:eastAsia="仿宋_GB2312" w:cs="仿宋"/>
          <w:sz w:val="32"/>
          <w:szCs w:val="32"/>
        </w:rPr>
      </w:pPr>
    </w:p>
    <w:p>
      <w:pPr>
        <w:spacing w:line="560" w:lineRule="exact"/>
        <w:ind w:left="420" w:firstLine="225"/>
        <w:jc w:val="right"/>
        <w:rPr>
          <w:rFonts w:ascii="仿宋_GB2312" w:eastAsia="仿宋_GB2312" w:cs="仿宋"/>
          <w:sz w:val="32"/>
          <w:szCs w:val="32"/>
        </w:rPr>
      </w:pPr>
    </w:p>
    <w:p>
      <w:pPr>
        <w:spacing w:line="560" w:lineRule="exact"/>
        <w:ind w:left="420" w:firstLine="225"/>
        <w:jc w:val="right"/>
        <w:rPr>
          <w:rFonts w:ascii="仿宋_GB2312" w:eastAsia="仿宋_GB2312" w:cs="仿宋"/>
          <w:sz w:val="32"/>
          <w:szCs w:val="32"/>
        </w:rPr>
      </w:pPr>
      <w:r>
        <w:rPr>
          <w:rFonts w:hint="eastAsia" w:ascii="仿宋_GB2312" w:eastAsia="仿宋_GB2312" w:cs="仿宋"/>
          <w:sz w:val="32"/>
          <w:szCs w:val="32"/>
        </w:rPr>
        <w:t>永清县产业扶贫就业脱贫工作领导小组</w:t>
      </w:r>
    </w:p>
    <w:p>
      <w:pPr>
        <w:spacing w:line="560" w:lineRule="exact"/>
        <w:ind w:left="420" w:right="640" w:firstLine="4000" w:firstLineChars="1250"/>
        <w:rPr>
          <w:rFonts w:ascii="仿宋_GB2312" w:eastAsia="仿宋_GB2312" w:cs="仿宋"/>
          <w:sz w:val="32"/>
          <w:szCs w:val="32"/>
        </w:rPr>
      </w:pPr>
      <w:r>
        <w:rPr>
          <w:rFonts w:hint="eastAsia" w:ascii="仿宋_GB2312" w:eastAsia="仿宋_GB2312" w:cs="仿宋"/>
          <w:sz w:val="32"/>
          <w:szCs w:val="32"/>
        </w:rPr>
        <w:t>20</w:t>
      </w:r>
      <w:r>
        <w:rPr>
          <w:rFonts w:hint="eastAsia" w:ascii="仿宋_GB2312" w:eastAsia="仿宋_GB2312" w:cs="仿宋"/>
          <w:sz w:val="32"/>
          <w:szCs w:val="32"/>
          <w:lang w:val="en-US" w:eastAsia="zh-CN"/>
        </w:rPr>
        <w:t>20</w:t>
      </w:r>
      <w:r>
        <w:rPr>
          <w:rFonts w:hint="eastAsia" w:ascii="仿宋_GB2312" w:eastAsia="仿宋_GB2312" w:cs="仿宋"/>
          <w:sz w:val="32"/>
          <w:szCs w:val="32"/>
        </w:rPr>
        <w:t>年</w:t>
      </w:r>
      <w:r>
        <w:rPr>
          <w:rFonts w:hint="eastAsia" w:ascii="仿宋_GB2312" w:eastAsia="仿宋_GB2312" w:cs="仿宋"/>
          <w:sz w:val="32"/>
          <w:szCs w:val="32"/>
          <w:lang w:val="en-US" w:eastAsia="zh-CN"/>
        </w:rPr>
        <w:t>3</w:t>
      </w:r>
      <w:r>
        <w:rPr>
          <w:rFonts w:hint="eastAsia" w:ascii="仿宋_GB2312" w:eastAsia="仿宋_GB2312" w:cs="仿宋"/>
          <w:sz w:val="32"/>
          <w:szCs w:val="32"/>
        </w:rPr>
        <w:t>月</w:t>
      </w:r>
      <w:r>
        <w:rPr>
          <w:rFonts w:hint="eastAsia" w:ascii="仿宋_GB2312" w:eastAsia="仿宋_GB2312" w:cs="仿宋"/>
          <w:sz w:val="32"/>
          <w:szCs w:val="32"/>
          <w:lang w:val="en-US" w:eastAsia="zh-CN"/>
        </w:rPr>
        <w:t>8</w:t>
      </w:r>
      <w:r>
        <w:rPr>
          <w:rFonts w:hint="eastAsia" w:ascii="仿宋_GB2312" w:eastAsia="仿宋_GB2312" w:cs="仿宋"/>
          <w:sz w:val="32"/>
          <w:szCs w:val="32"/>
        </w:rPr>
        <w:t>日</w:t>
      </w:r>
    </w:p>
    <w:p>
      <w:pPr>
        <w:spacing w:line="600" w:lineRule="exact"/>
        <w:rPr>
          <w:rFonts w:hint="eastAsia"/>
        </w:rPr>
      </w:pPr>
    </w:p>
    <w:p>
      <w:pPr>
        <w:jc w:val="center"/>
        <w:rPr>
          <w:rFonts w:hint="eastAsia" w:ascii="宋体"/>
          <w:b/>
          <w:sz w:val="44"/>
          <w:szCs w:val="44"/>
        </w:rPr>
      </w:pPr>
      <w:r>
        <w:rPr>
          <w:rFonts w:hint="eastAsia" w:ascii="宋体"/>
          <w:b/>
          <w:sz w:val="44"/>
          <w:szCs w:val="44"/>
        </w:rPr>
        <w:t>永清县2020年</w:t>
      </w:r>
      <w:r>
        <w:rPr>
          <w:rFonts w:hint="eastAsia" w:ascii="宋体"/>
          <w:b/>
          <w:sz w:val="44"/>
          <w:szCs w:val="44"/>
          <w:lang w:eastAsia="zh-CN"/>
        </w:rPr>
        <w:t>第二批</w:t>
      </w:r>
      <w:r>
        <w:rPr>
          <w:rFonts w:hint="eastAsia" w:ascii="宋体"/>
          <w:b/>
          <w:sz w:val="44"/>
          <w:szCs w:val="44"/>
        </w:rPr>
        <w:t>产业扶贫</w:t>
      </w:r>
    </w:p>
    <w:p>
      <w:pPr>
        <w:jc w:val="center"/>
        <w:rPr>
          <w:rFonts w:hint="eastAsia" w:ascii="宋体"/>
          <w:b/>
          <w:sz w:val="44"/>
          <w:szCs w:val="44"/>
        </w:rPr>
      </w:pPr>
      <w:r>
        <w:rPr>
          <w:rFonts w:hint="eastAsia" w:ascii="宋体"/>
          <w:b/>
          <w:sz w:val="44"/>
          <w:szCs w:val="44"/>
        </w:rPr>
        <w:t>资金使用方案</w:t>
      </w:r>
    </w:p>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产业扶贫是脱贫攻坚的治本之策和主攻方向，对于增强贫困群众造血能力、激发内生动力具有重要作用。为了进一步贯彻中央精准扶贫、精准脱贫方略，发挥扶贫资金支撑保障、激励作用，支持引导贫困群众发展特色产业、改善生产生活条件，根据中央有关规定，结合我县实际，现就2020年度</w:t>
      </w:r>
      <w:r>
        <w:rPr>
          <w:rFonts w:hint="eastAsia" w:ascii="仿宋_GB2312" w:eastAsia="仿宋_GB2312"/>
          <w:sz w:val="32"/>
          <w:szCs w:val="32"/>
          <w:lang w:eastAsia="zh-CN"/>
        </w:rPr>
        <w:t>第二批</w:t>
      </w:r>
      <w:r>
        <w:rPr>
          <w:rFonts w:hint="eastAsia" w:ascii="仿宋_GB2312" w:eastAsia="仿宋_GB2312"/>
          <w:sz w:val="32"/>
          <w:szCs w:val="32"/>
        </w:rPr>
        <w:t>产业扶贫资金使用，制定本方案。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eastAsia="黑体"/>
          <w:sz w:val="32"/>
          <w:szCs w:val="32"/>
        </w:rPr>
      </w:pPr>
      <w:r>
        <w:rPr>
          <w:rFonts w:hint="eastAsia" w:ascii="黑体" w:eastAsia="黑体"/>
          <w:sz w:val="32"/>
          <w:szCs w:val="32"/>
        </w:rPr>
        <w:t>一、资金来源</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1、上级下达的财政专项扶贫资金；</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2、县财政统筹、整合的扶贫资金。</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eastAsia="黑体"/>
          <w:sz w:val="32"/>
          <w:szCs w:val="32"/>
        </w:rPr>
      </w:pPr>
      <w:r>
        <w:rPr>
          <w:rFonts w:hint="eastAsia" w:ascii="黑体" w:eastAsia="黑体"/>
          <w:sz w:val="32"/>
          <w:szCs w:val="32"/>
        </w:rPr>
        <w:t>二、基本原则</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eastAsia="仿宋_GB2312"/>
          <w:sz w:val="32"/>
          <w:szCs w:val="32"/>
        </w:rPr>
      </w:pPr>
      <w:r>
        <w:rPr>
          <w:rFonts w:hint="eastAsia" w:ascii="楷体_GB2312" w:eastAsia="楷体_GB2312"/>
          <w:b/>
          <w:sz w:val="32"/>
          <w:szCs w:val="32"/>
        </w:rPr>
        <w:t>（一）政府引导，自愿参与原则。</w:t>
      </w:r>
      <w:r>
        <w:rPr>
          <w:rFonts w:hint="eastAsia" w:ascii="仿宋_GB2312" w:eastAsia="仿宋_GB2312"/>
          <w:sz w:val="32"/>
          <w:szCs w:val="32"/>
        </w:rPr>
        <w:t>坚持政府积极引导、群众自愿参与，充分发挥村集体和贫困群众的主体作用，保障贫困群众的知情权、参与权、选择权、监督权。</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eastAsia="仿宋_GB2312"/>
          <w:sz w:val="32"/>
          <w:szCs w:val="32"/>
        </w:rPr>
      </w:pPr>
      <w:r>
        <w:rPr>
          <w:rFonts w:hint="eastAsia" w:ascii="楷体_GB2312" w:eastAsia="楷体_GB2312"/>
          <w:b/>
          <w:sz w:val="32"/>
          <w:szCs w:val="32"/>
        </w:rPr>
        <w:t>（二）产业为本，强化风控的原则。</w:t>
      </w:r>
      <w:r>
        <w:rPr>
          <w:rFonts w:hint="eastAsia" w:ascii="仿宋_GB2312" w:eastAsia="仿宋_GB2312"/>
          <w:sz w:val="32"/>
          <w:szCs w:val="32"/>
        </w:rPr>
        <w:t>坚持以促进产业发展为根本，选准本地优势特色产业、对贫困户辐射带动强的产业，带动贫困群众增收，提高精准脱贫成效。资产收益扶贫项目，合理建立收益分配机制，兼顾各方利益，实现产业增效益、集体增实力、农民增收益</w:t>
      </w:r>
      <w:r>
        <w:rPr>
          <w:rFonts w:hint="eastAsia" w:ascii="仿宋_GB2312" w:eastAsia="仿宋_GB2312"/>
          <w:sz w:val="32"/>
          <w:szCs w:val="32"/>
          <w:lang w:val="en-US" w:eastAsia="zh-CN"/>
        </w:rPr>
        <w:t>的</w:t>
      </w:r>
      <w:r>
        <w:rPr>
          <w:rFonts w:hint="eastAsia" w:ascii="仿宋_GB2312" w:eastAsia="仿宋_GB2312"/>
          <w:sz w:val="32"/>
          <w:szCs w:val="32"/>
        </w:rPr>
        <w:t>有机统一。</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eastAsia="仿宋_GB2312"/>
          <w:sz w:val="32"/>
          <w:szCs w:val="32"/>
        </w:rPr>
      </w:pPr>
      <w:r>
        <w:rPr>
          <w:rFonts w:hint="eastAsia" w:ascii="楷体_GB2312" w:eastAsia="楷体_GB2312"/>
          <w:b/>
          <w:sz w:val="32"/>
          <w:szCs w:val="32"/>
        </w:rPr>
        <w:t>（三）因户施策，精准到户的原则。</w:t>
      </w:r>
      <w:r>
        <w:rPr>
          <w:rFonts w:hint="eastAsia" w:ascii="仿宋_GB2312" w:eastAsia="仿宋_GB2312"/>
          <w:sz w:val="32"/>
          <w:szCs w:val="32"/>
        </w:rPr>
        <w:t>所有产业扶贫资金都要实行项目化、具体化管理，确保扶贫资金发挥应有的效益。</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eastAsia="仿宋_GB2312"/>
          <w:sz w:val="32"/>
          <w:szCs w:val="32"/>
        </w:rPr>
      </w:pPr>
      <w:r>
        <w:rPr>
          <w:rFonts w:hint="eastAsia" w:ascii="楷体_GB2312" w:eastAsia="楷体_GB2312"/>
          <w:b/>
          <w:sz w:val="32"/>
          <w:szCs w:val="32"/>
        </w:rPr>
        <w:t>（四）利益联结、鼓励支持的原则。</w:t>
      </w:r>
      <w:r>
        <w:rPr>
          <w:rFonts w:hint="eastAsia" w:ascii="仿宋_GB2312" w:eastAsia="仿宋_GB2312"/>
          <w:sz w:val="32"/>
          <w:szCs w:val="32"/>
        </w:rPr>
        <w:t>鼓励产业扶贫帮扶主体与贫困户建立紧密利益联结机制，有劳动能力的贫困户根据自身条件成为产业扶贫政策宣传员和帮扶企业产品宣传员，从种植、养殖方面直接或间接带动贫困户脱贫。</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eastAsia="黑体"/>
          <w:sz w:val="32"/>
          <w:szCs w:val="32"/>
        </w:rPr>
      </w:pPr>
      <w:r>
        <w:rPr>
          <w:rFonts w:hint="eastAsia" w:ascii="黑体" w:eastAsia="黑体"/>
          <w:sz w:val="32"/>
          <w:szCs w:val="32"/>
        </w:rPr>
        <w:t>三、扶贫资金分配使用方向</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eastAsia="仿宋_GB2312"/>
          <w:sz w:val="32"/>
          <w:szCs w:val="32"/>
        </w:rPr>
      </w:pPr>
      <w:r>
        <w:rPr>
          <w:rFonts w:hint="eastAsia" w:ascii="楷体_GB2312" w:eastAsia="楷体_GB2312"/>
          <w:b/>
          <w:sz w:val="32"/>
          <w:szCs w:val="32"/>
        </w:rPr>
        <w:t>（一）帮扶主体确定。</w:t>
      </w:r>
      <w:r>
        <w:rPr>
          <w:rFonts w:hint="eastAsia" w:ascii="仿宋_GB2312" w:eastAsia="仿宋_GB2312"/>
          <w:sz w:val="32"/>
          <w:szCs w:val="32"/>
        </w:rPr>
        <w:t>由2018年遴选确定的</w:t>
      </w:r>
      <w:r>
        <w:rPr>
          <w:rFonts w:hint="eastAsia" w:ascii="仿宋_GB2312" w:eastAsia="仿宋_GB2312"/>
          <w:color w:val="333333"/>
          <w:sz w:val="32"/>
          <w:szCs w:val="32"/>
        </w:rPr>
        <w:t>永清县胜利养殖有限公司（远村现代农业园区）、新苑阳光农业有限公司、河北恒都美业农业开发有限公司、廊坊海泽田农业开发有限公司四家企业继续</w:t>
      </w:r>
      <w:r>
        <w:rPr>
          <w:rFonts w:hint="eastAsia" w:ascii="仿宋_GB2312" w:eastAsia="仿宋_GB2312"/>
          <w:sz w:val="32"/>
          <w:szCs w:val="32"/>
        </w:rPr>
        <w:t>作为我县2020年产业扶贫帮扶主体，各乡镇本着自愿、就近的原则,在四家农业企业中选择一家作为本乡镇产业扶贫项目帮扶主体。</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eastAsia="仿宋_GB2312"/>
          <w:sz w:val="32"/>
          <w:szCs w:val="32"/>
        </w:rPr>
      </w:pPr>
      <w:r>
        <w:rPr>
          <w:rFonts w:hint="eastAsia" w:ascii="楷体_GB2312" w:eastAsia="楷体_GB2312"/>
          <w:b/>
          <w:sz w:val="32"/>
          <w:szCs w:val="32"/>
        </w:rPr>
        <w:t>（二）产业帮扶类型。</w:t>
      </w:r>
      <w:r>
        <w:rPr>
          <w:rFonts w:hint="eastAsia" w:ascii="仿宋_GB2312" w:eastAsia="仿宋_GB2312"/>
          <w:sz w:val="32"/>
          <w:szCs w:val="32"/>
        </w:rPr>
        <w:t>各乡镇本着自愿、就近的原则，在充分征求村委会和贫困户的意见基础上，从四家帮扶主体中选择一家，由乡镇、村街、贫困户和企业四方共同签订产业帮扶协议，根据贫困户需求，开展具体帮扶工作。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 xml:space="preserve">资产收益帮扶，贫困户与帮扶主体、所在乡镇、村委会共同签订《扶贫资金收益协议书》，以扶贫资本金投入帮扶主体，协议明确贫困户获得保底收益。 </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eastAsia="仿宋_GB2312"/>
          <w:b/>
          <w:bCs/>
          <w:sz w:val="32"/>
          <w:szCs w:val="32"/>
        </w:rPr>
      </w:pPr>
      <w:r>
        <w:rPr>
          <w:rFonts w:hint="eastAsia" w:ascii="楷体_GB2312" w:eastAsia="楷体_GB2312"/>
          <w:b/>
          <w:sz w:val="32"/>
          <w:szCs w:val="32"/>
        </w:rPr>
        <w:t>（三）资金使用。</w:t>
      </w:r>
      <w:r>
        <w:rPr>
          <w:rFonts w:hint="eastAsia" w:ascii="仿宋_GB2312" w:eastAsia="仿宋_GB2312"/>
          <w:sz w:val="32"/>
          <w:szCs w:val="32"/>
        </w:rPr>
        <w:t>对我县</w:t>
      </w:r>
      <w:r>
        <w:rPr>
          <w:rFonts w:hint="eastAsia" w:ascii="仿宋_GB2312" w:eastAsia="仿宋_GB2312"/>
          <w:sz w:val="32"/>
          <w:szCs w:val="32"/>
          <w:lang w:eastAsia="zh-CN"/>
        </w:rPr>
        <w:t>年收入相对较低的</w:t>
      </w:r>
      <w:r>
        <w:rPr>
          <w:rFonts w:hint="eastAsia" w:ascii="仿宋_GB2312" w:eastAsia="仿宋_GB2312"/>
          <w:sz w:val="32"/>
          <w:szCs w:val="32"/>
          <w:lang w:val="en-US" w:eastAsia="zh-CN"/>
        </w:rPr>
        <w:t>60</w:t>
      </w:r>
      <w:r>
        <w:rPr>
          <w:rFonts w:hint="eastAsia" w:ascii="仿宋_GB2312" w:eastAsia="仿宋_GB2312"/>
          <w:sz w:val="32"/>
          <w:szCs w:val="32"/>
        </w:rPr>
        <w:t>户建档立卡贫困户中，</w:t>
      </w:r>
      <w:r>
        <w:rPr>
          <w:rFonts w:hint="eastAsia" w:ascii="仿宋_GB2312" w:eastAsia="仿宋_GB2312"/>
          <w:sz w:val="32"/>
          <w:szCs w:val="32"/>
          <w:lang w:eastAsia="zh-CN"/>
        </w:rPr>
        <w:t>有劳动能力</w:t>
      </w:r>
      <w:r>
        <w:rPr>
          <w:rFonts w:hint="eastAsia" w:ascii="仿宋_GB2312" w:eastAsia="仿宋_GB2312"/>
          <w:sz w:val="32"/>
          <w:szCs w:val="32"/>
          <w:lang w:val="en-US" w:eastAsia="zh-CN"/>
        </w:rPr>
        <w:t>29</w:t>
      </w:r>
      <w:r>
        <w:rPr>
          <w:rFonts w:hint="eastAsia" w:ascii="仿宋_GB2312" w:eastAsia="仿宋_GB2312"/>
          <w:sz w:val="32"/>
          <w:szCs w:val="32"/>
        </w:rPr>
        <w:t>户，按照每户</w:t>
      </w:r>
      <w:r>
        <w:rPr>
          <w:rFonts w:hint="eastAsia" w:ascii="仿宋_GB2312" w:eastAsia="仿宋_GB2312"/>
          <w:sz w:val="32"/>
          <w:szCs w:val="32"/>
          <w:lang w:val="en-US" w:eastAsia="zh-CN"/>
        </w:rPr>
        <w:t>1</w:t>
      </w:r>
      <w:r>
        <w:rPr>
          <w:rFonts w:hint="eastAsia" w:ascii="仿宋_GB2312" w:eastAsia="仿宋_GB2312"/>
          <w:sz w:val="32"/>
          <w:szCs w:val="32"/>
        </w:rPr>
        <w:t>万元标准；</w:t>
      </w:r>
      <w:r>
        <w:rPr>
          <w:rFonts w:hint="eastAsia" w:ascii="仿宋_GB2312" w:eastAsia="仿宋_GB2312"/>
          <w:sz w:val="32"/>
          <w:szCs w:val="32"/>
          <w:lang w:eastAsia="zh-CN"/>
        </w:rPr>
        <w:t>无劳动能力</w:t>
      </w:r>
      <w:r>
        <w:rPr>
          <w:rFonts w:hint="eastAsia" w:ascii="仿宋_GB2312" w:eastAsia="仿宋_GB2312"/>
          <w:sz w:val="32"/>
          <w:szCs w:val="32"/>
          <w:lang w:val="en-US" w:eastAsia="zh-CN"/>
        </w:rPr>
        <w:t>31</w:t>
      </w:r>
      <w:r>
        <w:rPr>
          <w:rFonts w:hint="eastAsia" w:ascii="仿宋_GB2312" w:eastAsia="仿宋_GB2312"/>
          <w:sz w:val="32"/>
          <w:szCs w:val="32"/>
        </w:rPr>
        <w:t xml:space="preserve"> 户，按照每户</w:t>
      </w:r>
      <w:r>
        <w:rPr>
          <w:rFonts w:hint="eastAsia" w:ascii="仿宋_GB2312" w:eastAsia="仿宋_GB2312"/>
          <w:sz w:val="32"/>
          <w:szCs w:val="32"/>
          <w:lang w:val="en-US" w:eastAsia="zh-CN"/>
        </w:rPr>
        <w:t>1</w:t>
      </w:r>
      <w:r>
        <w:rPr>
          <w:rFonts w:hint="eastAsia" w:ascii="仿宋_GB2312" w:eastAsia="仿宋_GB2312"/>
          <w:sz w:val="32"/>
          <w:szCs w:val="32"/>
        </w:rPr>
        <w:t>万元标准，实施资产收益帮扶，共需资金</w:t>
      </w:r>
      <w:r>
        <w:rPr>
          <w:rFonts w:hint="eastAsia" w:ascii="仿宋_GB2312" w:eastAsia="仿宋_GB2312"/>
          <w:sz w:val="32"/>
          <w:szCs w:val="32"/>
          <w:lang w:val="en-US" w:eastAsia="zh-CN"/>
        </w:rPr>
        <w:t>60</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产业扶贫资金不足部分由县财政予以列支。</w:t>
      </w:r>
      <w:r>
        <w:rPr>
          <w:rFonts w:hint="eastAsia" w:ascii="仿宋_GB2312" w:eastAsia="仿宋_GB2312"/>
          <w:b/>
          <w:bCs/>
          <w:sz w:val="32"/>
          <w:szCs w:val="32"/>
        </w:rPr>
        <w:t>(</w:t>
      </w:r>
      <w:r>
        <w:rPr>
          <w:rFonts w:hint="eastAsia" w:ascii="仿宋_GB2312" w:eastAsia="仿宋_GB2312"/>
          <w:b/>
          <w:bCs/>
          <w:sz w:val="32"/>
          <w:szCs w:val="32"/>
          <w:lang w:eastAsia="zh-CN"/>
        </w:rPr>
        <w:t>资产收益类</w:t>
      </w:r>
      <w:r>
        <w:rPr>
          <w:rFonts w:hint="eastAsia" w:ascii="仿宋_GB2312" w:eastAsia="仿宋_GB2312"/>
          <w:b/>
          <w:bCs/>
          <w:sz w:val="32"/>
          <w:szCs w:val="32"/>
        </w:rPr>
        <w:t>扶贫专项资金本金，由县财政局统一管理，待扶贫脱贫攻坚任务结束后，按上级政策执行）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eastAsia="黑体"/>
          <w:sz w:val="32"/>
          <w:szCs w:val="32"/>
        </w:rPr>
      </w:pPr>
      <w:r>
        <w:rPr>
          <w:rFonts w:hint="eastAsia" w:ascii="黑体" w:eastAsia="黑体"/>
          <w:sz w:val="32"/>
          <w:szCs w:val="32"/>
        </w:rPr>
        <w:t>四、加强扶贫资金监督管理</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eastAsia="仿宋_GB2312"/>
          <w:sz w:val="32"/>
          <w:szCs w:val="32"/>
        </w:rPr>
      </w:pPr>
      <w:r>
        <w:rPr>
          <w:rFonts w:hint="eastAsia" w:ascii="楷体_GB2312" w:eastAsia="楷体_GB2312"/>
          <w:b/>
          <w:sz w:val="32"/>
          <w:szCs w:val="32"/>
        </w:rPr>
        <w:t>（一）科学整合资金。</w:t>
      </w:r>
      <w:r>
        <w:rPr>
          <w:rFonts w:hint="eastAsia" w:ascii="仿宋_GB2312" w:eastAsia="仿宋_GB2312"/>
          <w:sz w:val="32"/>
          <w:szCs w:val="32"/>
        </w:rPr>
        <w:t>坚持“多管道进水、一个池子蓄水、一个出口放水”和“各负其责、各尽其职”的原则，创新机制体制，加大资金统筹整合力度；注重完善扶贫规划，坚持项目跟着规划走，资金跟着项目走，确保涉农资金精准用于扶贫脱贫。</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eastAsia="仿宋_GB2312"/>
          <w:sz w:val="32"/>
          <w:szCs w:val="32"/>
        </w:rPr>
      </w:pPr>
      <w:r>
        <w:rPr>
          <w:rFonts w:hint="eastAsia" w:ascii="楷体_GB2312" w:eastAsia="楷体_GB2312"/>
          <w:b/>
          <w:sz w:val="32"/>
          <w:szCs w:val="32"/>
        </w:rPr>
        <w:t>（二）强化绩效管理。</w:t>
      </w:r>
      <w:r>
        <w:rPr>
          <w:rFonts w:hint="eastAsia" w:ascii="仿宋_GB2312" w:eastAsia="仿宋_GB2312"/>
          <w:sz w:val="32"/>
          <w:szCs w:val="32"/>
        </w:rPr>
        <w:t>完善扶贫资金绩效评价机制，创新扶贫资金管理使用模式，提高扶贫资金使用的精准度和效益，切实做到资金投向精准、资金使用精准、脱贫成效精准。充分发挥财政资金引导作用和杠杆作用，撬动金融资本、社会帮扶资金参与扶贫、脱贫。</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eastAsia="仿宋_GB2312"/>
          <w:sz w:val="32"/>
          <w:szCs w:val="32"/>
        </w:rPr>
      </w:pPr>
      <w:r>
        <w:rPr>
          <w:rFonts w:hint="eastAsia" w:ascii="楷体_GB2312" w:eastAsia="楷体_GB2312"/>
          <w:b/>
          <w:sz w:val="32"/>
          <w:szCs w:val="32"/>
        </w:rPr>
        <w:t>（三）加强资金监管。</w:t>
      </w:r>
      <w:r>
        <w:rPr>
          <w:rFonts w:hint="eastAsia" w:ascii="仿宋_GB2312" w:eastAsia="仿宋_GB2312"/>
          <w:sz w:val="32"/>
          <w:szCs w:val="32"/>
        </w:rPr>
        <w:t xml:space="preserve">乡村两级对扶贫资金使用承担主体责任，严格按照产业扶贫资金使用管理办法的要求，全程公开公示。财政、扶贫、审计、纪检监察等部门按照各自职能，强化事前、事中、事后监督。对扶贫领域腐败行为“零容忍”，发现一起、查处一起。 </w:t>
      </w:r>
    </w:p>
    <w:p>
      <w:pPr>
        <w:keepNext w:val="0"/>
        <w:keepLines w:val="0"/>
        <w:pageBreakBefore w:val="0"/>
        <w:widowControl w:val="0"/>
        <w:kinsoku/>
        <w:wordWrap/>
        <w:overflowPunct/>
        <w:topLinePunct w:val="0"/>
        <w:autoSpaceDE/>
        <w:autoSpaceDN/>
        <w:bidi w:val="0"/>
        <w:adjustRightInd/>
        <w:snapToGrid/>
        <w:spacing w:line="580" w:lineRule="exact"/>
        <w:ind w:firstLine="800" w:firstLineChars="250"/>
        <w:textAlignment w:val="auto"/>
        <w:rPr>
          <w:rFonts w:hint="eastAsia" w:ascii="仿宋_GB2312" w:eastAsia="仿宋_GB2312"/>
          <w:sz w:val="32"/>
          <w:szCs w:val="32"/>
        </w:rPr>
      </w:pPr>
      <w:r>
        <w:rPr>
          <w:rFonts w:hint="eastAsia" w:ascii="仿宋_GB2312" w:eastAsia="仿宋_GB2312"/>
          <w:sz w:val="32"/>
          <w:szCs w:val="32"/>
        </w:rPr>
        <w:t>附：</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800" w:firstLineChars="25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永清县2020年第二批产业扶贫资产收益项目资金分配表</w:t>
      </w:r>
    </w:p>
    <w:p>
      <w:pPr>
        <w:spacing w:line="600" w:lineRule="exact"/>
        <w:rPr>
          <w:rFonts w:hint="eastAsia"/>
        </w:rPr>
      </w:pPr>
    </w:p>
    <w:sectPr>
      <w:footerReference r:id="rId3" w:type="default"/>
      <w:pgSz w:w="11906" w:h="16838"/>
      <w:pgMar w:top="1440" w:right="1803" w:bottom="1440" w:left="1803" w:header="851" w:footer="992" w:gutter="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3665" distR="113665" simplePos="0" relativeHeight="1024" behindDoc="0" locked="0" layoutInCell="1" allowOverlap="1">
              <wp:simplePos x="0" y="0"/>
              <wp:positionH relativeFrom="margin">
                <wp:align>center</wp:align>
              </wp:positionH>
              <wp:positionV relativeFrom="paragraph">
                <wp:posOffset>0</wp:posOffset>
              </wp:positionV>
              <wp:extent cx="57785" cy="139700"/>
              <wp:effectExtent l="0" t="0" r="0" b="0"/>
              <wp:wrapNone/>
              <wp:docPr id="1" name="文本框 1"/>
              <wp:cNvGraphicFramePr/>
              <a:graphic xmlns:a="http://schemas.openxmlformats.org/drawingml/2006/main">
                <a:graphicData uri="http://schemas.microsoft.com/office/word/2010/wordprocessingShape">
                  <wps:wsp>
                    <wps:cNvSpPr/>
                    <wps:spPr>
                      <a:xfrm>
                        <a:off x="0" y="0"/>
                        <a:ext cx="57950" cy="139674"/>
                      </a:xfrm>
                      <a:prstGeom prst="rect">
                        <a:avLst/>
                      </a:prstGeom>
                      <a:noFill/>
                      <a:ln w="9525" cap="flat" cmpd="sng">
                        <a:noFill/>
                        <a:prstDash val="solid"/>
                        <a:round/>
                      </a:ln>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vert="horz" wrap="none" lIns="0" tIns="0" rIns="0" bIns="0" anchor="t" anchorCtr="0" upright="1">
                      <a:spAutoFit/>
                    </wps:bodyPr>
                  </wps:wsp>
                </a:graphicData>
              </a:graphic>
            </wp:anchor>
          </w:drawing>
        </mc:Choice>
        <mc:Fallback>
          <w:pict>
            <v:rect id="文本框 1" o:spid="_x0000_s1026" o:spt="1" style="position:absolute;left:0pt;margin-top:0pt;height:11pt;width:4.55pt;mso-position-horizontal:center;mso-position-horizontal-relative:margin;mso-wrap-style:none;z-index:1024;mso-width-relative:page;mso-height-relative:page;" filled="f" stroked="f" coordsize="21600,21600" o:gfxdata="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UuvP1tAAAAACAQAA&#10;DwAAAAAAAAABACAAAAAiAAAAZHJzL2Rvd25yZXYueG1sUEsBAhQAFAAAAAgAh07iQEZTJ8/oAQAA&#10;pQMAAA4AAAAAAAAAAQAgAAAAHwEAAGRycy9lMm9Eb2MueG1sUEsFBgAAAAAGAAYAWQEAAHkFAAAA&#10;AA==&#10;">
              <v:fill on="f" focussize="0,0"/>
              <v:stroke on="f" joinstyle="round"/>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1D0694"/>
    <w:multiLevelType w:val="singleLevel"/>
    <w:tmpl w:val="161D069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9"/>
  <w:displayHorizontalDrawingGridEvery w:val="0"/>
  <w:displayVerticalDrawingGridEvery w:val="2"/>
  <w:characterSpacingControl w:val="compressPunctuation"/>
  <w:compat>
    <w:spaceForUL/>
    <w:balanceSingleByteDoubleByteWidth/>
    <w:ulTrailSpace/>
    <w:doNotExpandShiftReturn/>
    <w:adjustLineHeightInTable/>
    <w:growAutofit/>
    <w:useFELayout/>
    <w:compatSetting w:name="compatibilityMode" w:uri="http://schemas.microsoft.com/office/word" w:val="14"/>
  </w:compat>
  <w:rsids>
    <w:rsidRoot w:val="00000000"/>
    <w:rsid w:val="11EB70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6">
    <w:name w:val="Default Paragraph Font"/>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eastAsia="宋体" w:cs="宋体"/>
      <w:kern w:val="0"/>
      <w:sz w:val="24"/>
      <w:szCs w:val="24"/>
    </w:rPr>
  </w:style>
  <w:style w:type="paragraph" w:customStyle="1" w:styleId="7">
    <w:name w:val="普通(网站)2"/>
    <w:basedOn w:val="1"/>
    <w:qFormat/>
    <w:uiPriority w:val="0"/>
    <w:pPr>
      <w:jc w:val="left"/>
    </w:pPr>
    <w:rPr>
      <w:rFonts w:cs="Times New Roman"/>
      <w:kern w:val="0"/>
      <w:sz w:val="24"/>
    </w:rPr>
  </w:style>
  <w:style w:type="paragraph" w:customStyle="1" w:styleId="8">
    <w:name w:val="普通(网站)1"/>
    <w:basedOn w:val="1"/>
    <w:qFormat/>
    <w:uiPriority w:val="0"/>
    <w:pPr>
      <w:jc w:val="left"/>
    </w:pPr>
    <w:rPr>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2</Pages>
  <Words>136</Words>
  <Characters>148</Characters>
  <Lines>22</Lines>
  <Paragraphs>8</Paragraphs>
  <TotalTime>2</TotalTime>
  <ScaleCrop>false</ScaleCrop>
  <LinksUpToDate>false</LinksUpToDate>
  <CharactersWithSpaces>152</CharactersWithSpaces>
  <Application>WPS Office_11.1.0.9584_F1E327BC-269C-435d-A152-05C5408002CA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2019-03-06T01:19:00Z</dcterms:created>
  <dc:creator>xmj</dc:creator>
  <cp:lastModifiedBy>ZH4NGYB</cp:lastModifiedBy>
  <cp:lastPrinted>2020-03-16T05:33:00Z</cp:lastPrinted>
  <dcterms:modified xsi:type="dcterms:W3CDTF">2020-04-23T06:08:00Z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